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F" w:rsidRDefault="00C50D2F">
      <w:r>
        <w:rPr>
          <w:szCs w:val="24"/>
        </w:rPr>
        <w:t xml:space="preserve">                            </w:t>
      </w:r>
    </w:p>
    <w:p w:rsidR="00C50D2F" w:rsidRDefault="00C50D2F">
      <w:pPr>
        <w:jc w:val="center"/>
        <w:rPr>
          <w:b/>
          <w:bCs/>
          <w:sz w:val="32"/>
          <w:szCs w:val="32"/>
        </w:rPr>
      </w:pPr>
    </w:p>
    <w:p w:rsidR="00C50D2F" w:rsidRDefault="00C50D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LEI MUNICIPAL DE SEGURANÇA ALIMENTAR E NUTRICIONAL</w:t>
      </w:r>
    </w:p>
    <w:p w:rsidR="00C50D2F" w:rsidRDefault="00C50D2F">
      <w:pPr>
        <w:jc w:val="center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center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PROJETO DE LEI Nº07/2024.</w:t>
      </w:r>
    </w:p>
    <w:p w:rsidR="00C50D2F" w:rsidRDefault="00C50D2F">
      <w:pPr>
        <w:jc w:val="center"/>
        <w:rPr>
          <w:rFonts w:ascii="Arial" w:hAnsi="Arial" w:cs="Arial"/>
          <w:b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ind w:left="3912" w:righ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Cria os componentes do Município de Cruzmaltina Estado do Paraná do Sistema Nacional de Segurança Alimentar, define os parâmetros para elaboração e implementação do Plano Municipal de Segurança Alimentar e Nutricional. Revoga a Lei Municipal N°493/2016 e dá outras providências.</w:t>
      </w:r>
    </w:p>
    <w:p w:rsidR="00C50D2F" w:rsidRDefault="00C50D2F">
      <w:pPr>
        <w:ind w:left="2840"/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O Prefeito Municipal de Cruzmaltina, Estado do Paraná no uso de suas atribuições faz saber a todos os habitantes deste Município que a Câmara Municipal de Vereadores decreta e eu sanciono a seguinte Lei: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CAPÍTULO I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DISPOSIÇÕES GERAIS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Art. 1º </w:t>
      </w:r>
      <w:r>
        <w:rPr>
          <w:rFonts w:ascii="Arial" w:hAnsi="Arial" w:cs="Arial"/>
          <w:kern w:val="2"/>
          <w:sz w:val="22"/>
          <w:szCs w:val="22"/>
        </w:rPr>
        <w:t>Esta Lei cria os componentes municipais do SISAN, bem como define parâmetros para elaboração e implementação do Plano Municipal de Segurança Alimentar e Nutricional, em consonância com os princípios e diretrizes estabelecidos pela Lei nº 11.346, de 15 de setembro de 2006, com o Decreto nº 6.272, de 2007, o Decreto nº 6.273, de 2007, e o Decreto nº 7.272, de 2010, com o propósito de garantir o Direito Humano à Alimentação Adequada.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 xml:space="preserve">Art. 2º </w:t>
      </w:r>
      <w:r>
        <w:rPr>
          <w:rFonts w:ascii="Arial" w:hAnsi="Arial" w:cs="Arial"/>
          <w:kern w:val="2"/>
          <w:sz w:val="22"/>
          <w:szCs w:val="22"/>
        </w:rPr>
        <w:t xml:space="preserve">A alimentação adequada é direito </w:t>
      </w:r>
      <w:proofErr w:type="gramStart"/>
      <w:r>
        <w:rPr>
          <w:rFonts w:ascii="Arial" w:hAnsi="Arial" w:cs="Arial"/>
          <w:kern w:val="2"/>
          <w:sz w:val="22"/>
          <w:szCs w:val="22"/>
        </w:rPr>
        <w:t>básico</w:t>
      </w:r>
      <w:proofErr w:type="gramEnd"/>
      <w:r>
        <w:rPr>
          <w:rFonts w:ascii="Arial" w:hAnsi="Arial" w:cs="Arial"/>
          <w:kern w:val="2"/>
          <w:sz w:val="22"/>
          <w:szCs w:val="22"/>
        </w:rPr>
        <w:t xml:space="preserve"> do ser humano, indispensável à realização dos seus direitos consagrados na Constituição Federal e Estadual, cabendo ao poder público adotar as políticas e ações que se façam necessárias para respeitar, proteger, promover e prover o Direito Humano à Alimentação Adequada e Segurança Alimentar e Nutricional de toda a população.</w:t>
      </w:r>
    </w:p>
    <w:p w:rsidR="00C50D2F" w:rsidRDefault="00C50D2F">
      <w:pPr>
        <w:jc w:val="both"/>
      </w:pPr>
    </w:p>
    <w:p w:rsidR="00C50D2F" w:rsidRDefault="00C50D2F">
      <w:p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eastAsia="Arial" w:hAnsi="Arial" w:cs="Arial"/>
          <w:kern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kern w:val="2"/>
          <w:sz w:val="22"/>
          <w:szCs w:val="22"/>
        </w:rPr>
        <w:t xml:space="preserve"> </w:t>
      </w:r>
      <w:r>
        <w:rPr>
          <w:rFonts w:ascii="Arial" w:hAnsi="Arial" w:cs="Arial"/>
          <w:b/>
          <w:kern w:val="2"/>
          <w:sz w:val="22"/>
          <w:szCs w:val="22"/>
        </w:rPr>
        <w:t xml:space="preserve">§ 1º </w:t>
      </w:r>
      <w:r>
        <w:rPr>
          <w:rFonts w:ascii="Arial" w:hAnsi="Arial" w:cs="Arial"/>
          <w:kern w:val="2"/>
          <w:sz w:val="22"/>
          <w:szCs w:val="22"/>
        </w:rPr>
        <w:t>A adoção dessas políticas e ações, deverá levar em conta as dimensões ambientais, culturais, econômicas, regionais e sociais do Município, com prioridade para as regiões e populações mais vulneráveis.</w:t>
      </w:r>
    </w:p>
    <w:p w:rsidR="00C50D2F" w:rsidRDefault="00C50D2F">
      <w:pPr>
        <w:jc w:val="both"/>
      </w:pPr>
    </w:p>
    <w:p w:rsidR="00C50D2F" w:rsidRDefault="00C50D2F">
      <w:pPr>
        <w:jc w:val="both"/>
      </w:pPr>
      <w:r>
        <w:rPr>
          <w:rFonts w:ascii="Arial" w:eastAsia="Arial" w:hAnsi="Arial" w:cs="Arial"/>
          <w:kern w:val="2"/>
          <w:sz w:val="22"/>
          <w:szCs w:val="22"/>
        </w:rPr>
        <w:lastRenderedPageBreak/>
        <w:t xml:space="preserve">  </w:t>
      </w:r>
      <w:r>
        <w:rPr>
          <w:rFonts w:ascii="Arial" w:hAnsi="Arial" w:cs="Arial"/>
          <w:b/>
          <w:kern w:val="2"/>
          <w:sz w:val="22"/>
          <w:szCs w:val="22"/>
        </w:rPr>
        <w:t xml:space="preserve">§ 2º </w:t>
      </w:r>
      <w:r>
        <w:rPr>
          <w:rFonts w:ascii="Arial" w:hAnsi="Arial" w:cs="Arial"/>
          <w:kern w:val="2"/>
          <w:sz w:val="22"/>
          <w:szCs w:val="22"/>
        </w:rPr>
        <w:t>É dever do poder público, além das previstas no caput do artigo, avaliar, fiscalizar e monitorar a realização do Direito Humano à Alimentação Adequada, bem como criar e fortalecer os mecanismos para sua exigibilidade.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Art. 3º </w:t>
      </w:r>
      <w:r>
        <w:rPr>
          <w:rFonts w:ascii="Arial" w:hAnsi="Arial" w:cs="Arial"/>
          <w:kern w:val="2"/>
          <w:sz w:val="22"/>
          <w:szCs w:val="22"/>
        </w:rPr>
        <w:t>A Segurança Alimentar e Nutricional consiste na realização do direito de todos ao acesso regular e permanente a alimentos de qualidade, em quantidade suficiente, sem comprometer o acesso a outras necessidades essenciais, tendo como base práticas alimentares promotoras de saúde que respeitem a diversidade cultural e que sejam ambientais, cultural, econômica e socialmente sustentáveis.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kern w:val="2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kern w:val="2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Parágrafo único: A Segurança Alimentar e Nutricional inclui a realização do direito de todas as pessoas terem acesso à orientação que contribua para o enfrentamento ao sobrepeso, a obesidade, contaminação de alimentos e mais doenças consequentes da alimentação inadequada.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Art. 4º </w:t>
      </w:r>
      <w:r>
        <w:rPr>
          <w:rFonts w:ascii="Arial" w:hAnsi="Arial" w:cs="Arial"/>
          <w:kern w:val="2"/>
          <w:sz w:val="22"/>
          <w:szCs w:val="22"/>
        </w:rPr>
        <w:t xml:space="preserve">A Segurança Alimentar e Nutricional abrange: 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eastAsia="Arial" w:hAnsi="Arial" w:cs="Arial"/>
          <w:b/>
          <w:kern w:val="2"/>
          <w:sz w:val="22"/>
          <w:szCs w:val="22"/>
        </w:rPr>
        <w:t xml:space="preserve"> </w:t>
      </w:r>
      <w:r>
        <w:rPr>
          <w:rFonts w:ascii="Arial" w:hAnsi="Arial" w:cs="Arial"/>
          <w:b/>
          <w:kern w:val="2"/>
          <w:sz w:val="22"/>
          <w:szCs w:val="22"/>
        </w:rPr>
        <w:t xml:space="preserve">I – </w:t>
      </w:r>
      <w:r>
        <w:rPr>
          <w:rFonts w:ascii="Arial" w:hAnsi="Arial" w:cs="Arial"/>
          <w:kern w:val="2"/>
          <w:sz w:val="22"/>
          <w:szCs w:val="22"/>
        </w:rPr>
        <w:t>A ampliação das condições de oferta acessível de alimentos, por meio do incremento de produção, em especial na agricultura tradicional e familiar, no processamento, na industrialização, na comercialização, no abastecimento e na distribuição, nos recursos de água, alcançando também a geração de emprego e a redistribuição da renda, como fatores de ascensão social;</w:t>
      </w: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II – </w:t>
      </w:r>
      <w:r>
        <w:rPr>
          <w:rFonts w:ascii="Arial" w:hAnsi="Arial" w:cs="Arial"/>
          <w:kern w:val="2"/>
          <w:sz w:val="22"/>
          <w:szCs w:val="22"/>
        </w:rPr>
        <w:t>A conservação da biodiversidade e a utilização sustentável dos recursos naturais;</w:t>
      </w: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III – </w:t>
      </w:r>
      <w:r>
        <w:rPr>
          <w:rFonts w:ascii="Arial" w:hAnsi="Arial" w:cs="Arial"/>
          <w:kern w:val="2"/>
          <w:sz w:val="22"/>
          <w:szCs w:val="22"/>
        </w:rPr>
        <w:t>A promoção da saúde, da nutrição e da alimentação da população, incluindo-se grupos populacionais específicos e populações em situação de vulnerabilidade social;</w:t>
      </w: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IV – </w:t>
      </w:r>
      <w:r>
        <w:rPr>
          <w:rFonts w:ascii="Arial" w:hAnsi="Arial" w:cs="Arial"/>
          <w:kern w:val="2"/>
          <w:sz w:val="22"/>
          <w:szCs w:val="22"/>
        </w:rPr>
        <w:t>A garantia da qualidade biológica, sanitária, nutricional e tecnológica dos alimentos consumidos pela população, bem como seu aproveitamento, promovendo a sintonia entre instituições com responsabilidades afins para que estimulem práticas e ações alimentares e estilos de vida saudáveis;</w:t>
      </w: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V – </w:t>
      </w:r>
      <w:r>
        <w:rPr>
          <w:rFonts w:ascii="Arial" w:hAnsi="Arial" w:cs="Arial"/>
          <w:kern w:val="2"/>
          <w:sz w:val="22"/>
          <w:szCs w:val="22"/>
        </w:rPr>
        <w:t>A produção de conhecimentos e informações úteis à saúde alimentar, promovendo seu amplo acesso e eficaz disseminação para toda a população;</w:t>
      </w: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VI – </w:t>
      </w:r>
      <w:r>
        <w:rPr>
          <w:rFonts w:ascii="Arial" w:hAnsi="Arial" w:cs="Arial"/>
          <w:kern w:val="2"/>
          <w:sz w:val="22"/>
          <w:szCs w:val="22"/>
        </w:rPr>
        <w:t xml:space="preserve">A implementação de políticas públicas, de estratégias sustentáveis e participativas de produção, comercialização e consumo de alimentos, respeitando-se as múltiplas características territoriais e </w:t>
      </w:r>
      <w:proofErr w:type="spellStart"/>
      <w:r>
        <w:rPr>
          <w:rFonts w:ascii="Arial" w:hAnsi="Arial" w:cs="Arial"/>
          <w:kern w:val="2"/>
          <w:sz w:val="22"/>
          <w:szCs w:val="22"/>
        </w:rPr>
        <w:t>etnoculturais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do Estado;</w:t>
      </w: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VII – </w:t>
      </w:r>
      <w:r>
        <w:rPr>
          <w:rFonts w:ascii="Arial" w:hAnsi="Arial" w:cs="Arial"/>
          <w:kern w:val="2"/>
          <w:sz w:val="22"/>
          <w:szCs w:val="22"/>
        </w:rPr>
        <w:t xml:space="preserve">A adoção de urgentes correções quanto aos controles públicos sobre qualidade nutricional dos alimentos, quanto a tolerância com maus hábitos alimentares, quanto a desinformação sobre saúde alimentar vigente na sociedade em geral e nos ambientes sob gestão direta e indireta do Estado, quanto a falta de sintonia entre as ações das diversas áreas com responsabilidades afins, como educação, saúde, publicidade, pesquisa estimulada e ou apoiada por entes públicos, produção estimulada de alimentos </w:t>
      </w:r>
      <w:r>
        <w:rPr>
          <w:rFonts w:ascii="Arial" w:hAnsi="Arial" w:cs="Arial"/>
          <w:kern w:val="2"/>
          <w:sz w:val="22"/>
          <w:szCs w:val="22"/>
        </w:rPr>
        <w:lastRenderedPageBreak/>
        <w:t>mediante critérios fundamentados, dentre outros;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Art. 5º </w:t>
      </w:r>
      <w:r>
        <w:rPr>
          <w:rFonts w:ascii="Arial" w:hAnsi="Arial" w:cs="Arial"/>
          <w:kern w:val="2"/>
          <w:sz w:val="22"/>
          <w:szCs w:val="22"/>
        </w:rPr>
        <w:t>A consecução do Direito Humano à Alimentação Adequada e da Segurança Alimentar e Nutricional, requer o respeito à soberania do Estado sobre a produção e o consumo de alimentos.</w:t>
      </w:r>
    </w:p>
    <w:p w:rsidR="00C50D2F" w:rsidRDefault="00C50D2F">
      <w:pPr>
        <w:jc w:val="both"/>
        <w:rPr>
          <w:rFonts w:ascii="Arial" w:hAnsi="Arial" w:cs="Arial"/>
          <w:b/>
          <w:sz w:val="22"/>
          <w:szCs w:val="22"/>
        </w:rPr>
      </w:pPr>
    </w:p>
    <w:p w:rsidR="00C50D2F" w:rsidRDefault="00C50D2F">
      <w:pPr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Art. 6º </w:t>
      </w:r>
      <w:r>
        <w:rPr>
          <w:rFonts w:ascii="Arial" w:hAnsi="Arial" w:cs="Arial"/>
          <w:kern w:val="2"/>
          <w:sz w:val="22"/>
          <w:szCs w:val="22"/>
        </w:rPr>
        <w:t>O Município de Cruzmaltina Estado do Paraná deve empenhar-se na promoção de cooperação técnica com o Governo Estadual e com os demais municípios do estado, contribuindo assim, para a realização do Direito Humano à Alimentação Adequada.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CAPÍTULO II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DOS COMPOMENTES MUNICIPAIS DO SISTEMA NACIONAL DE SEGURANÇA</w:t>
      </w:r>
    </w:p>
    <w:p w:rsidR="00C50D2F" w:rsidRDefault="00C50D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ALIMENTAR E NUTRICIONAL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Art. 7º. </w:t>
      </w:r>
      <w:r>
        <w:rPr>
          <w:rFonts w:ascii="Arial" w:hAnsi="Arial" w:cs="Arial"/>
          <w:kern w:val="2"/>
          <w:sz w:val="22"/>
          <w:szCs w:val="22"/>
        </w:rPr>
        <w:t>A consecução do Direito Humano à Alimentação Adequada e da Segurança Alimentar e Nutricional da população far-se-á por meio do SISAN, integrado, no Município de Cruzmaltina Estado do Paraná por um conjunto de órgãos e entidades afetas à Segurança Alimentar e Nutricional.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Parágrafo único: A Câmara </w:t>
      </w:r>
      <w:proofErr w:type="spellStart"/>
      <w:r>
        <w:rPr>
          <w:rFonts w:ascii="Arial" w:hAnsi="Arial" w:cs="Arial"/>
          <w:kern w:val="2"/>
          <w:sz w:val="22"/>
          <w:szCs w:val="22"/>
        </w:rPr>
        <w:t>Intersetorial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Municipal de Segurança Alimentar e Nutricional – CAISAN Municipal e o Conselho Municipal de Segurança Alimentar e Nutricional – CONSEA-Municipal, serão regulamentados por Decreto do Poder Executivo, respeitada a legislação aplicável.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Art. 8º. </w:t>
      </w:r>
      <w:r>
        <w:rPr>
          <w:rFonts w:ascii="Arial" w:hAnsi="Arial" w:cs="Arial"/>
          <w:kern w:val="2"/>
          <w:sz w:val="22"/>
          <w:szCs w:val="22"/>
        </w:rPr>
        <w:t>O SISAN reger-se pelos seguintes princípios e diretrizes dispostos na Lei 11.346 de setembro de 2006.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</w:pPr>
      <w:r>
        <w:rPr>
          <w:rFonts w:ascii="Arial" w:hAnsi="Arial" w:cs="Arial"/>
          <w:b/>
          <w:kern w:val="2"/>
          <w:sz w:val="22"/>
          <w:szCs w:val="22"/>
        </w:rPr>
        <w:t>Art. 9º.</w:t>
      </w:r>
      <w:r>
        <w:rPr>
          <w:rFonts w:ascii="Arial" w:hAnsi="Arial" w:cs="Arial"/>
          <w:kern w:val="2"/>
          <w:sz w:val="22"/>
          <w:szCs w:val="22"/>
        </w:rPr>
        <w:t xml:space="preserve"> São componentes municipais do SISAN: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I – </w:t>
      </w:r>
      <w:r>
        <w:rPr>
          <w:rFonts w:ascii="Arial" w:hAnsi="Arial" w:cs="Arial"/>
          <w:kern w:val="2"/>
          <w:sz w:val="22"/>
          <w:szCs w:val="22"/>
        </w:rPr>
        <w:t>A Conferência Municipal de Segurança Alimentar e Nutricional, instância responsável pela indicação ao CONSEA Municipal das diretrizes e prioridades da Política e do Plano Municipal de Segurança Alimentar e Nutricional, bem como pela avaliação do SISAN no âmbito do município;</w:t>
      </w:r>
    </w:p>
    <w:p w:rsidR="00C50D2F" w:rsidRDefault="00C50D2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II – </w:t>
      </w:r>
      <w:r>
        <w:rPr>
          <w:rFonts w:ascii="Arial" w:hAnsi="Arial" w:cs="Arial"/>
          <w:kern w:val="2"/>
          <w:sz w:val="22"/>
          <w:szCs w:val="22"/>
        </w:rPr>
        <w:t>O CONSEA Municipal, órgão vinculado à Secretaria Municipal de Agricultura, Educação e Assistência social.</w:t>
      </w: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hAnsi="Arial" w:cs="Arial"/>
          <w:kern w:val="2"/>
          <w:sz w:val="22"/>
          <w:szCs w:val="22"/>
        </w:rPr>
        <w:t xml:space="preserve"> O CONSEA Municipal será composto por 4 membros, 2 titulares e 2 suplentes, dos quais dois terços de representantes da sociedade civil, cabendo a representante deste segmento exercer a presidência do conselho, e um terço de representantes governamentais.</w:t>
      </w:r>
    </w:p>
    <w:p w:rsidR="00C50D2F" w:rsidRDefault="00C50D2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III – </w:t>
      </w:r>
      <w:r>
        <w:rPr>
          <w:rFonts w:ascii="Arial" w:hAnsi="Arial" w:cs="Arial"/>
          <w:kern w:val="2"/>
          <w:sz w:val="22"/>
          <w:szCs w:val="22"/>
        </w:rPr>
        <w:t xml:space="preserve">A Câmara </w:t>
      </w:r>
      <w:proofErr w:type="spellStart"/>
      <w:r>
        <w:rPr>
          <w:rFonts w:ascii="Arial" w:hAnsi="Arial" w:cs="Arial"/>
          <w:kern w:val="2"/>
          <w:sz w:val="22"/>
          <w:szCs w:val="22"/>
        </w:rPr>
        <w:t>Intersetorial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Municipal de Segurança Alimentar e Nutricional – </w:t>
      </w:r>
      <w:r>
        <w:rPr>
          <w:rFonts w:ascii="Arial" w:hAnsi="Arial" w:cs="Arial"/>
          <w:kern w:val="2"/>
          <w:sz w:val="22"/>
          <w:szCs w:val="22"/>
        </w:rPr>
        <w:lastRenderedPageBreak/>
        <w:t>CAISAN Municipal – integrada por Secretários Municipais responsáveis pelas pastas afetas à consecução da Segurança Alimentar e Nutricional, com as seguintes atribuições, dentre outras:</w:t>
      </w:r>
    </w:p>
    <w:p w:rsidR="00C50D2F" w:rsidRDefault="00C50D2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</w:pPr>
      <w:r>
        <w:rPr>
          <w:rFonts w:ascii="Arial" w:hAnsi="Arial" w:cs="Arial"/>
          <w:b/>
          <w:kern w:val="2"/>
          <w:sz w:val="22"/>
          <w:szCs w:val="22"/>
        </w:rPr>
        <w:t>a)</w:t>
      </w:r>
      <w:r>
        <w:rPr>
          <w:rFonts w:ascii="Arial" w:hAnsi="Arial" w:cs="Arial"/>
          <w:kern w:val="2"/>
          <w:sz w:val="22"/>
          <w:szCs w:val="22"/>
        </w:rPr>
        <w:t xml:space="preserve"> Elaborar, considerando as especificidades locais, o Plano Municipal de Segurança Alimentar e Nutricional, observando os requisitos, as dimensões, as diretrizes e os conteúdos expostos no Decreto nº 7272/2010, bem como os demais dispositivos do marco legal vigente, as diretrizes emanadas da Conferência Municipal de Segurança Alimentar e Nutricional e do CONSEA Municipal, indicando diretrizes, metas, fontes de recursos e os instrumentos de acompanhamento, monitoramento e avaliação de sua implementação;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</w:pPr>
      <w:proofErr w:type="gramStart"/>
      <w:r>
        <w:rPr>
          <w:rFonts w:ascii="Arial" w:hAnsi="Arial" w:cs="Arial"/>
          <w:b/>
          <w:kern w:val="2"/>
          <w:sz w:val="22"/>
          <w:szCs w:val="22"/>
        </w:rPr>
        <w:t>b)</w:t>
      </w:r>
      <w:r>
        <w:rPr>
          <w:rFonts w:ascii="Arial" w:hAnsi="Arial" w:cs="Arial"/>
          <w:kern w:val="2"/>
          <w:sz w:val="22"/>
          <w:szCs w:val="22"/>
        </w:rPr>
        <w:t xml:space="preserve"> Monitorar e avaliar</w:t>
      </w:r>
      <w:proofErr w:type="gramEnd"/>
      <w:r>
        <w:rPr>
          <w:rFonts w:ascii="Arial" w:hAnsi="Arial" w:cs="Arial"/>
          <w:kern w:val="2"/>
          <w:sz w:val="22"/>
          <w:szCs w:val="22"/>
        </w:rPr>
        <w:t xml:space="preserve"> a execução da Política e do Plano.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Parágrafo único: A Câmara </w:t>
      </w:r>
      <w:proofErr w:type="spellStart"/>
      <w:r>
        <w:rPr>
          <w:rFonts w:ascii="Arial" w:hAnsi="Arial" w:cs="Arial"/>
          <w:kern w:val="2"/>
          <w:sz w:val="22"/>
          <w:szCs w:val="22"/>
        </w:rPr>
        <w:t>Intersetorial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Municipal de Segurança Alimentar e Nutricional, CAISAN Municipal, será presidida pelo titular da Secretaria de Agricultura, e seus procedimentos operacionais serão coordenados no âmbito da Secretaria-Executiva da CAISAN Municipal.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widowControl w:val="0"/>
        <w:numPr>
          <w:ilvl w:val="0"/>
          <w:numId w:val="1"/>
        </w:numPr>
        <w:tabs>
          <w:tab w:val="left" w:pos="0"/>
        </w:tabs>
        <w:overflowPunct w:val="0"/>
        <w:jc w:val="both"/>
      </w:pPr>
      <w:r>
        <w:rPr>
          <w:rFonts w:ascii="Arial" w:hAnsi="Arial" w:cs="Arial"/>
          <w:b/>
          <w:kern w:val="2"/>
          <w:sz w:val="22"/>
          <w:szCs w:val="22"/>
        </w:rPr>
        <w:t xml:space="preserve">IV – </w:t>
      </w:r>
      <w:r>
        <w:rPr>
          <w:rFonts w:ascii="Arial" w:hAnsi="Arial" w:cs="Arial"/>
          <w:kern w:val="2"/>
          <w:sz w:val="22"/>
          <w:szCs w:val="22"/>
        </w:rPr>
        <w:t>Os órgãos e entidades de Segurança Alimentar e Nutricional, instituições privadas, com ou sem fins lucrativos, que manifestem interesse na adesão e que respeitem os critérios, princípios e diretrizes do SISAN, nos termos regulamentado pela Câmara Interministerial de Segurança Alimentar e Nutricional – CAISAN.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DAS DISPOSIÇÕES FINAIS E TRANSITÓRIAS</w:t>
      </w: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both"/>
      </w:pPr>
      <w:r>
        <w:rPr>
          <w:rFonts w:ascii="Arial" w:hAnsi="Arial" w:cs="Arial"/>
          <w:b/>
          <w:kern w:val="2"/>
          <w:sz w:val="22"/>
          <w:szCs w:val="22"/>
        </w:rPr>
        <w:t>Art. 10.</w:t>
      </w:r>
      <w:r>
        <w:rPr>
          <w:rFonts w:ascii="Arial" w:hAnsi="Arial" w:cs="Arial"/>
          <w:kern w:val="2"/>
          <w:sz w:val="22"/>
          <w:szCs w:val="22"/>
        </w:rPr>
        <w:t xml:space="preserve"> O Prefeito Municipal editará norma regulamentando a presente Lei no prazo de 90 (noventa) dias.</w:t>
      </w:r>
    </w:p>
    <w:p w:rsidR="00C50D2F" w:rsidRDefault="00C50D2F">
      <w:pPr>
        <w:jc w:val="both"/>
        <w:rPr>
          <w:rFonts w:ascii="Arial" w:hAnsi="Arial" w:cs="Arial"/>
          <w:b/>
          <w:sz w:val="22"/>
          <w:szCs w:val="22"/>
        </w:rPr>
      </w:pPr>
    </w:p>
    <w:p w:rsidR="00C50D2F" w:rsidRDefault="00C50D2F">
      <w:pPr>
        <w:jc w:val="both"/>
      </w:pPr>
      <w:r>
        <w:rPr>
          <w:rFonts w:ascii="Arial" w:hAnsi="Arial" w:cs="Arial"/>
          <w:b/>
          <w:kern w:val="2"/>
          <w:sz w:val="22"/>
          <w:szCs w:val="22"/>
        </w:rPr>
        <w:t>Art. 11</w:t>
      </w:r>
      <w:r>
        <w:rPr>
          <w:rFonts w:ascii="Arial" w:hAnsi="Arial" w:cs="Arial"/>
          <w:kern w:val="2"/>
          <w:sz w:val="22"/>
          <w:szCs w:val="22"/>
        </w:rPr>
        <w:t>. Esta Lei entra em vigor na data de sua publicação</w:t>
      </w:r>
    </w:p>
    <w:p w:rsidR="00C50D2F" w:rsidRDefault="00C50D2F">
      <w:pPr>
        <w:jc w:val="both"/>
      </w:pPr>
    </w:p>
    <w:p w:rsidR="00C50D2F" w:rsidRDefault="00C50D2F">
      <w:pPr>
        <w:jc w:val="both"/>
        <w:rPr>
          <w:rFonts w:ascii="Arial" w:eastAsia="Arial Narrow" w:hAnsi="Arial" w:cs="Arial"/>
          <w:kern w:val="2"/>
          <w:sz w:val="22"/>
          <w:szCs w:val="22"/>
        </w:rPr>
      </w:pPr>
      <w:r>
        <w:rPr>
          <w:rFonts w:ascii="Arial" w:eastAsia="Arial Narrow" w:hAnsi="Arial" w:cs="Arial"/>
          <w:b/>
          <w:bCs/>
          <w:kern w:val="2"/>
          <w:sz w:val="22"/>
          <w:szCs w:val="22"/>
        </w:rPr>
        <w:t xml:space="preserve">Art. 12. </w:t>
      </w:r>
      <w:r>
        <w:rPr>
          <w:rFonts w:ascii="Arial" w:eastAsia="Arial Narrow" w:hAnsi="Arial" w:cs="Arial"/>
          <w:kern w:val="2"/>
          <w:sz w:val="22"/>
          <w:szCs w:val="22"/>
        </w:rPr>
        <w:t>Revogam-se as disposições em contrário, em especial a Lei Municipal n°493/2016.</w:t>
      </w:r>
    </w:p>
    <w:p w:rsidR="00C50D2F" w:rsidRDefault="00C50D2F">
      <w:pPr>
        <w:jc w:val="both"/>
        <w:rPr>
          <w:rFonts w:ascii="Arial" w:eastAsia="Arial Narrow" w:hAnsi="Arial" w:cs="Arial"/>
          <w:kern w:val="2"/>
          <w:sz w:val="22"/>
          <w:szCs w:val="22"/>
        </w:rPr>
      </w:pPr>
    </w:p>
    <w:p w:rsidR="00C50D2F" w:rsidRDefault="00C50D2F">
      <w:pPr>
        <w:jc w:val="both"/>
      </w:pPr>
    </w:p>
    <w:p w:rsidR="00C50D2F" w:rsidRDefault="00C50D2F">
      <w:pPr>
        <w:jc w:val="both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b/>
          <w:bCs/>
          <w:kern w:val="2"/>
          <w:sz w:val="22"/>
          <w:szCs w:val="22"/>
        </w:rPr>
        <w:t xml:space="preserve">EDIFICIO DA PREFEITURA DO MUNICIPIO DE CRUZMALTINA, AOS DIAS </w:t>
      </w:r>
      <w:proofErr w:type="gramStart"/>
      <w:r>
        <w:rPr>
          <w:rFonts w:ascii="Arial" w:hAnsi="Arial" w:cs="Arial"/>
          <w:b/>
          <w:bCs/>
          <w:kern w:val="2"/>
          <w:sz w:val="22"/>
          <w:szCs w:val="22"/>
        </w:rPr>
        <w:t>DEZESSEIS  DE</w:t>
      </w:r>
      <w:proofErr w:type="gramEnd"/>
      <w:r>
        <w:rPr>
          <w:rFonts w:ascii="Arial" w:hAnsi="Arial" w:cs="Arial"/>
          <w:b/>
          <w:bCs/>
          <w:kern w:val="2"/>
          <w:sz w:val="22"/>
          <w:szCs w:val="22"/>
        </w:rPr>
        <w:t xml:space="preserve"> ABRIL DE DOIS MIL E VINTE E QUATRO.</w:t>
      </w:r>
    </w:p>
    <w:p w:rsidR="00C50D2F" w:rsidRDefault="00C50D2F">
      <w:pPr>
        <w:jc w:val="both"/>
        <w:rPr>
          <w:rFonts w:ascii="Arial" w:hAnsi="Arial" w:cs="Arial"/>
          <w:kern w:val="2"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sz w:val="22"/>
          <w:szCs w:val="22"/>
        </w:rPr>
      </w:pPr>
    </w:p>
    <w:p w:rsidR="00C50D2F" w:rsidRDefault="00C50D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C50D2F" w:rsidRDefault="00C50D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NATAL CASAVECHIA</w:t>
      </w:r>
    </w:p>
    <w:p w:rsidR="00C50D2F" w:rsidRDefault="00C50D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:rsidR="002E2FAB" w:rsidRDefault="002E2F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E2FAB" w:rsidRDefault="002E2F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E2FAB" w:rsidRDefault="002E2F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E2FAB" w:rsidRDefault="002E2F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E2FAB" w:rsidRDefault="002E2F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50D2F" w:rsidRDefault="00C50D2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</w:t>
      </w:r>
    </w:p>
    <w:p w:rsidR="00C50D2F" w:rsidRDefault="00C50D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50D2F" w:rsidRDefault="00C50D2F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 presente projeto de Lei </w:t>
      </w:r>
      <w:bookmarkStart w:id="0" w:name="_GoBack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visa a criação das políticas essenciais de Segurança Alimentar e Nutricional no município de Cruzmaltina PR.  A legislação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propostam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segue as orientações repassada pelo Ministério Público Estadual e do Conselho de Segurança Alimentar e Nutricional do Estado Paraná e a SEAB (Secretaria Estadual de Abastecimento) com o vislumbre a participação em programas de SAN, como os programas de alimentação escolar, o programa de aquisição de alimentos, entre outros.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participação nestes programas é de suma importância para geração de renda aos agricultores do município, em especial os da agricultura familiar, fomentando a atividade e possibilidade uma garantia de rentabilidade das áreas produtivas, melhorar a qualidade e variabilidade de alimentos ofertados junto a instituições de ensino e entidades que atendem a população em situação de vulnerabilidade, tais como crianças e idosos.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 fomento das políticas de SAN impactará principalmente a saúde da população atendida, gerando uma melhor alimentação tanto em qualidade quanto em quantidade.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Ressalta-se que após a aprovação e publicação da alteração da lei proposta, o município poderá inscrever-se no Sistema Nacional de Políticas de SAN e ter prioridade e/ou acesso a verbas e projetos juntos a União e ao Estado do Paraná no atendimento das Políticas de SAN.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Pelos motivos acima elucidados e certos de contarmos com a compreensão dos ilustres Vereadores, submetemos o presente Projeto de Lei para apreciação.</w:t>
      </w:r>
    </w:p>
    <w:p w:rsidR="00C50D2F" w:rsidRDefault="00C50D2F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50D2F" w:rsidRDefault="00C50D2F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50D2F" w:rsidRDefault="00C50D2F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50D2F" w:rsidRDefault="00C50D2F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50D2F" w:rsidRDefault="00C50D2F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50D2F" w:rsidRDefault="00C50D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C50D2F" w:rsidRDefault="00C50D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NATAL CASAVECHIA</w:t>
      </w:r>
    </w:p>
    <w:p w:rsidR="00C50D2F" w:rsidRDefault="00C50D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:rsidR="00C50D2F" w:rsidRDefault="00C50D2F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C50D2F">
      <w:headerReference w:type="default" r:id="rId8"/>
      <w:footerReference w:type="default" r:id="rId9"/>
      <w:pgSz w:w="11907" w:h="16840"/>
      <w:pgMar w:top="2601" w:right="1701" w:bottom="1418" w:left="170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2F" w:rsidRDefault="00C50D2F">
      <w:r>
        <w:separator/>
      </w:r>
    </w:p>
  </w:endnote>
  <w:endnote w:type="continuationSeparator" w:id="0">
    <w:p w:rsidR="00C50D2F" w:rsidRDefault="00C5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5" w:type="dxa"/>
      <w:tblInd w:w="-65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15"/>
    </w:tblGrid>
    <w:tr w:rsidR="00BF78A7">
      <w:trPr>
        <w:trHeight w:val="429"/>
      </w:trPr>
      <w:tc>
        <w:tcPr>
          <w:tcW w:w="9815" w:type="dxa"/>
          <w:tcBorders>
            <w:bottom w:val="threeDEmboss" w:sz="24" w:space="0" w:color="auto"/>
          </w:tcBorders>
          <w:vAlign w:val="center"/>
        </w:tcPr>
        <w:p w:rsidR="00C50D2F" w:rsidRDefault="00C50D2F">
          <w:pPr>
            <w:pStyle w:val="Cabealho"/>
            <w:rPr>
              <w:b/>
              <w:bCs/>
              <w:color w:val="999999"/>
              <w:sz w:val="18"/>
            </w:rPr>
          </w:pPr>
        </w:p>
      </w:tc>
    </w:tr>
    <w:tr w:rsidR="00BF78A7">
      <w:trPr>
        <w:trHeight w:val="310"/>
      </w:trPr>
      <w:tc>
        <w:tcPr>
          <w:tcW w:w="9815" w:type="dxa"/>
          <w:tcBorders>
            <w:top w:val="threeDEmboss" w:sz="24" w:space="0" w:color="auto"/>
          </w:tcBorders>
          <w:vAlign w:val="center"/>
        </w:tcPr>
        <w:p w:rsidR="00C50D2F" w:rsidRDefault="00C50D2F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999999"/>
              <w:sz w:val="22"/>
              <w:szCs w:val="22"/>
            </w:rPr>
            <w:t xml:space="preserve">AVENIDA PADRE GUALTER FARIAS NEGRÃO N º 40 – CENTRO – </w:t>
          </w:r>
        </w:p>
      </w:tc>
    </w:tr>
  </w:tbl>
  <w:p w:rsidR="00C50D2F" w:rsidRDefault="00C50D2F">
    <w:pPr>
      <w:pStyle w:val="Cabealho"/>
      <w:jc w:val="center"/>
      <w:rPr>
        <w:rFonts w:ascii="Arial" w:hAnsi="Arial" w:cs="Arial"/>
        <w:b/>
        <w:bCs/>
        <w:color w:val="999999"/>
        <w:sz w:val="22"/>
        <w:szCs w:val="22"/>
      </w:rPr>
    </w:pPr>
    <w:r>
      <w:rPr>
        <w:rFonts w:ascii="Arial" w:hAnsi="Arial" w:cs="Arial"/>
        <w:b/>
        <w:bCs/>
        <w:color w:val="999999"/>
        <w:sz w:val="22"/>
        <w:szCs w:val="22"/>
      </w:rPr>
      <w:t xml:space="preserve">E-mail </w:t>
    </w:r>
    <w:hyperlink r:id="rId1" w:history="1">
      <w:r>
        <w:rPr>
          <w:rStyle w:val="Hyperlink"/>
          <w:rFonts w:ascii="Arial" w:hAnsi="Arial" w:cs="Arial"/>
          <w:b/>
          <w:bCs/>
          <w:sz w:val="22"/>
          <w:szCs w:val="22"/>
        </w:rPr>
        <w:t>prefeitura@cruzmaltina.pr.gov.br</w:t>
      </w:r>
    </w:hyperlink>
    <w:r>
      <w:rPr>
        <w:rFonts w:ascii="Arial" w:hAnsi="Arial" w:cs="Arial"/>
        <w:b/>
        <w:bCs/>
        <w:color w:val="999999"/>
        <w:sz w:val="22"/>
        <w:szCs w:val="22"/>
        <w:u w:val="single"/>
      </w:rPr>
      <w:t xml:space="preserve"> ou </w:t>
    </w:r>
    <w:hyperlink r:id="rId2" w:history="1">
      <w:r>
        <w:rPr>
          <w:rStyle w:val="Hyperlink"/>
          <w:rFonts w:ascii="Arial" w:hAnsi="Arial" w:cs="Arial"/>
          <w:b/>
          <w:bCs/>
          <w:sz w:val="22"/>
          <w:szCs w:val="22"/>
        </w:rPr>
        <w:t>gabinete@cruzmaltina.pr.gov.br</w:t>
      </w:r>
    </w:hyperlink>
    <w:r>
      <w:rPr>
        <w:rFonts w:ascii="Arial" w:hAnsi="Arial" w:cs="Arial"/>
        <w:b/>
        <w:bCs/>
        <w:color w:val="999999"/>
        <w:sz w:val="22"/>
        <w:szCs w:val="22"/>
      </w:rPr>
      <w:t xml:space="preserve">  FONE/FAX (43) 3125 - 2000 </w:t>
    </w:r>
  </w:p>
  <w:p w:rsidR="00C50D2F" w:rsidRDefault="00C50D2F">
    <w:pPr>
      <w:pStyle w:val="Cabealho"/>
      <w:jc w:val="center"/>
      <w:rPr>
        <w:rFonts w:ascii="Arial" w:hAnsi="Arial" w:cs="Arial"/>
        <w:color w:val="999999"/>
        <w:sz w:val="22"/>
        <w:szCs w:val="22"/>
      </w:rPr>
    </w:pPr>
    <w:r>
      <w:rPr>
        <w:rFonts w:ascii="Arial" w:hAnsi="Arial" w:cs="Arial"/>
        <w:b/>
        <w:bCs/>
        <w:color w:val="999999"/>
        <w:sz w:val="22"/>
        <w:szCs w:val="22"/>
      </w:rPr>
      <w:t>CEP – 86.855.000 - CRUZMALTINA - PARANÁ</w:t>
    </w:r>
  </w:p>
  <w:p w:rsidR="00C50D2F" w:rsidRDefault="00C50D2F">
    <w:pPr>
      <w:pStyle w:val="Rodap"/>
    </w:pPr>
  </w:p>
  <w:p w:rsidR="00C50D2F" w:rsidRDefault="00C50D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2F" w:rsidRDefault="00C50D2F">
      <w:r>
        <w:separator/>
      </w:r>
    </w:p>
  </w:footnote>
  <w:footnote w:type="continuationSeparator" w:id="0">
    <w:p w:rsidR="00C50D2F" w:rsidRDefault="00C5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5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7338"/>
    </w:tblGrid>
    <w:tr w:rsidR="00BF78A7">
      <w:trPr>
        <w:trHeight w:val="1489"/>
        <w:jc w:val="center"/>
      </w:trPr>
      <w:tc>
        <w:tcPr>
          <w:tcW w:w="2477" w:type="dxa"/>
          <w:vMerge w:val="restart"/>
        </w:tcPr>
        <w:p w:rsidR="00C50D2F" w:rsidRDefault="00C50D2F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1466850" cy="1485900"/>
                <wp:effectExtent l="0" t="0" r="0" b="0"/>
                <wp:docPr id="1" name="Imagem 4" descr="C:\Users\Fernando\Desktop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Fernando\Desktop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8" w:type="dxa"/>
          <w:tcBorders>
            <w:bottom w:val="threeDEmboss" w:sz="24" w:space="0" w:color="auto"/>
          </w:tcBorders>
          <w:vAlign w:val="center"/>
        </w:tcPr>
        <w:p w:rsidR="00C50D2F" w:rsidRDefault="00C50D2F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  <w:sz w:val="32"/>
              <w:szCs w:val="32"/>
            </w:rPr>
          </w:pPr>
        </w:p>
        <w:p w:rsidR="00C50D2F" w:rsidRDefault="00C50D2F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999999"/>
              <w:sz w:val="32"/>
              <w:szCs w:val="32"/>
            </w:rPr>
            <w:t>PREFEITURA MUNICIPAL DE CRUZMALTINA</w:t>
          </w:r>
        </w:p>
        <w:p w:rsidR="00C50D2F" w:rsidRDefault="00C50D2F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</w:rPr>
          </w:pPr>
          <w:r>
            <w:rPr>
              <w:rFonts w:ascii="Arial" w:hAnsi="Arial" w:cs="Arial"/>
              <w:b/>
              <w:bCs/>
              <w:color w:val="999999"/>
            </w:rPr>
            <w:t>ESTADO DO PARANÁ</w:t>
          </w:r>
        </w:p>
        <w:p w:rsidR="00C50D2F" w:rsidRDefault="00C50D2F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999999"/>
              <w:sz w:val="32"/>
              <w:szCs w:val="32"/>
            </w:rPr>
            <w:t>CNPJ 01.615.393/0001-00</w:t>
          </w:r>
        </w:p>
        <w:p w:rsidR="00C50D2F" w:rsidRDefault="00C50D2F">
          <w:pPr>
            <w:pStyle w:val="Cabealho"/>
            <w:rPr>
              <w:b/>
              <w:bCs/>
              <w:color w:val="999999"/>
              <w:sz w:val="18"/>
            </w:rPr>
          </w:pPr>
        </w:p>
        <w:p w:rsidR="00C50D2F" w:rsidRDefault="00C50D2F">
          <w:pPr>
            <w:pStyle w:val="Cabealho"/>
            <w:rPr>
              <w:b/>
              <w:bCs/>
              <w:color w:val="999999"/>
              <w:sz w:val="18"/>
            </w:rPr>
          </w:pPr>
        </w:p>
      </w:tc>
    </w:tr>
    <w:tr w:rsidR="00BF78A7">
      <w:trPr>
        <w:trHeight w:val="310"/>
        <w:jc w:val="center"/>
      </w:trPr>
      <w:tc>
        <w:tcPr>
          <w:tcW w:w="2477" w:type="dxa"/>
          <w:vMerge/>
        </w:tcPr>
        <w:p w:rsidR="00C50D2F" w:rsidRDefault="00C50D2F">
          <w:pPr>
            <w:pStyle w:val="Cabealho"/>
          </w:pPr>
        </w:p>
      </w:tc>
      <w:tc>
        <w:tcPr>
          <w:tcW w:w="7338" w:type="dxa"/>
          <w:tcBorders>
            <w:top w:val="threeDEmboss" w:sz="24" w:space="0" w:color="auto"/>
          </w:tcBorders>
          <w:vAlign w:val="center"/>
        </w:tcPr>
        <w:p w:rsidR="00C50D2F" w:rsidRDefault="00C50D2F">
          <w:pPr>
            <w:pStyle w:val="Cabealho"/>
            <w:jc w:val="center"/>
            <w:rPr>
              <w:rFonts w:ascii="Arial" w:hAnsi="Arial" w:cs="Arial"/>
              <w:b/>
              <w:bCs/>
              <w:color w:val="999999"/>
              <w:sz w:val="32"/>
              <w:szCs w:val="32"/>
            </w:rPr>
          </w:pPr>
        </w:p>
      </w:tc>
    </w:tr>
  </w:tbl>
  <w:p w:rsidR="00C50D2F" w:rsidRDefault="00C50D2F">
    <w:pPr>
      <w:pStyle w:val="Cabealho"/>
      <w:tabs>
        <w:tab w:val="clear" w:pos="4320"/>
        <w:tab w:val="clear" w:pos="8640"/>
        <w:tab w:val="left" w:pos="53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43AB"/>
    <w:multiLevelType w:val="multilevel"/>
    <w:tmpl w:val="23B643AB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B6"/>
    <w:rsid w:val="00015D3D"/>
    <w:rsid w:val="00015D68"/>
    <w:rsid w:val="00017393"/>
    <w:rsid w:val="0002654C"/>
    <w:rsid w:val="00042E8D"/>
    <w:rsid w:val="0004323F"/>
    <w:rsid w:val="00052AD3"/>
    <w:rsid w:val="00052B94"/>
    <w:rsid w:val="00055346"/>
    <w:rsid w:val="0005714E"/>
    <w:rsid w:val="00061945"/>
    <w:rsid w:val="00093258"/>
    <w:rsid w:val="000A4D4A"/>
    <w:rsid w:val="000A69E7"/>
    <w:rsid w:val="000B7852"/>
    <w:rsid w:val="000C2071"/>
    <w:rsid w:val="000C6B6D"/>
    <w:rsid w:val="000E3294"/>
    <w:rsid w:val="000E5D87"/>
    <w:rsid w:val="000F14B7"/>
    <w:rsid w:val="001148C3"/>
    <w:rsid w:val="001226D2"/>
    <w:rsid w:val="001265D3"/>
    <w:rsid w:val="001302FF"/>
    <w:rsid w:val="00134080"/>
    <w:rsid w:val="00147AEB"/>
    <w:rsid w:val="00156CEC"/>
    <w:rsid w:val="001A38B2"/>
    <w:rsid w:val="001A71C8"/>
    <w:rsid w:val="001B3BF4"/>
    <w:rsid w:val="001B690F"/>
    <w:rsid w:val="001C06B7"/>
    <w:rsid w:val="001C2771"/>
    <w:rsid w:val="001D043E"/>
    <w:rsid w:val="001D6C91"/>
    <w:rsid w:val="001E6A97"/>
    <w:rsid w:val="001F51DE"/>
    <w:rsid w:val="00212814"/>
    <w:rsid w:val="00246855"/>
    <w:rsid w:val="0025651B"/>
    <w:rsid w:val="00265C17"/>
    <w:rsid w:val="00270262"/>
    <w:rsid w:val="00271D03"/>
    <w:rsid w:val="00282415"/>
    <w:rsid w:val="00291AC7"/>
    <w:rsid w:val="002A3373"/>
    <w:rsid w:val="002A51C4"/>
    <w:rsid w:val="002B2E38"/>
    <w:rsid w:val="002B5363"/>
    <w:rsid w:val="002C01C1"/>
    <w:rsid w:val="002C064B"/>
    <w:rsid w:val="002E2FAB"/>
    <w:rsid w:val="002F1515"/>
    <w:rsid w:val="00314B50"/>
    <w:rsid w:val="0032041B"/>
    <w:rsid w:val="0032274D"/>
    <w:rsid w:val="00322CEC"/>
    <w:rsid w:val="00325CB1"/>
    <w:rsid w:val="00346B27"/>
    <w:rsid w:val="003544BB"/>
    <w:rsid w:val="0035712D"/>
    <w:rsid w:val="00360658"/>
    <w:rsid w:val="003612E5"/>
    <w:rsid w:val="00367AFD"/>
    <w:rsid w:val="00382314"/>
    <w:rsid w:val="00382AF0"/>
    <w:rsid w:val="003978ED"/>
    <w:rsid w:val="003A1BE4"/>
    <w:rsid w:val="003A4331"/>
    <w:rsid w:val="003B4497"/>
    <w:rsid w:val="003C07FA"/>
    <w:rsid w:val="003C4947"/>
    <w:rsid w:val="003C588C"/>
    <w:rsid w:val="003D2AB2"/>
    <w:rsid w:val="003E43C2"/>
    <w:rsid w:val="003E5B97"/>
    <w:rsid w:val="0042527A"/>
    <w:rsid w:val="00425CDF"/>
    <w:rsid w:val="00430C27"/>
    <w:rsid w:val="00443576"/>
    <w:rsid w:val="00444323"/>
    <w:rsid w:val="00445A21"/>
    <w:rsid w:val="00463768"/>
    <w:rsid w:val="0047103E"/>
    <w:rsid w:val="00485BDF"/>
    <w:rsid w:val="004A1CA2"/>
    <w:rsid w:val="004A4856"/>
    <w:rsid w:val="004A5FD6"/>
    <w:rsid w:val="004A6E67"/>
    <w:rsid w:val="004A7061"/>
    <w:rsid w:val="004C7674"/>
    <w:rsid w:val="004D2450"/>
    <w:rsid w:val="005072B5"/>
    <w:rsid w:val="0051495C"/>
    <w:rsid w:val="005178D6"/>
    <w:rsid w:val="005223CA"/>
    <w:rsid w:val="00522D43"/>
    <w:rsid w:val="00542449"/>
    <w:rsid w:val="00543C15"/>
    <w:rsid w:val="00555E49"/>
    <w:rsid w:val="00557A85"/>
    <w:rsid w:val="00571D16"/>
    <w:rsid w:val="00594143"/>
    <w:rsid w:val="005B0774"/>
    <w:rsid w:val="005C1302"/>
    <w:rsid w:val="005C53F9"/>
    <w:rsid w:val="005C64A4"/>
    <w:rsid w:val="005D0B5F"/>
    <w:rsid w:val="005D253F"/>
    <w:rsid w:val="005E7CD5"/>
    <w:rsid w:val="005F1C48"/>
    <w:rsid w:val="005F7A89"/>
    <w:rsid w:val="00603B45"/>
    <w:rsid w:val="006145DA"/>
    <w:rsid w:val="0063780E"/>
    <w:rsid w:val="006449D5"/>
    <w:rsid w:val="00645AAC"/>
    <w:rsid w:val="00653688"/>
    <w:rsid w:val="00666E43"/>
    <w:rsid w:val="0068027E"/>
    <w:rsid w:val="00694368"/>
    <w:rsid w:val="00695B9E"/>
    <w:rsid w:val="006D18DA"/>
    <w:rsid w:val="006E5553"/>
    <w:rsid w:val="0071225E"/>
    <w:rsid w:val="00723E86"/>
    <w:rsid w:val="00727C68"/>
    <w:rsid w:val="0075092C"/>
    <w:rsid w:val="00755022"/>
    <w:rsid w:val="00767332"/>
    <w:rsid w:val="0076744F"/>
    <w:rsid w:val="0078757F"/>
    <w:rsid w:val="00787B62"/>
    <w:rsid w:val="007954C3"/>
    <w:rsid w:val="007A335E"/>
    <w:rsid w:val="007A6344"/>
    <w:rsid w:val="007B19CB"/>
    <w:rsid w:val="007B52E1"/>
    <w:rsid w:val="007B65DC"/>
    <w:rsid w:val="007C0008"/>
    <w:rsid w:val="007C0C82"/>
    <w:rsid w:val="007C4CBA"/>
    <w:rsid w:val="007C7D5D"/>
    <w:rsid w:val="007D3556"/>
    <w:rsid w:val="007D7113"/>
    <w:rsid w:val="007E218C"/>
    <w:rsid w:val="007F2891"/>
    <w:rsid w:val="00807B63"/>
    <w:rsid w:val="008112E6"/>
    <w:rsid w:val="0082316A"/>
    <w:rsid w:val="00824CD5"/>
    <w:rsid w:val="008335A9"/>
    <w:rsid w:val="00842555"/>
    <w:rsid w:val="00842AEA"/>
    <w:rsid w:val="00843F7D"/>
    <w:rsid w:val="00856C90"/>
    <w:rsid w:val="00861A12"/>
    <w:rsid w:val="00861F86"/>
    <w:rsid w:val="00863BCB"/>
    <w:rsid w:val="00882634"/>
    <w:rsid w:val="00886C95"/>
    <w:rsid w:val="008A217A"/>
    <w:rsid w:val="008A7EEC"/>
    <w:rsid w:val="008C376A"/>
    <w:rsid w:val="008D565B"/>
    <w:rsid w:val="008F0778"/>
    <w:rsid w:val="008F2443"/>
    <w:rsid w:val="008F35BF"/>
    <w:rsid w:val="00926926"/>
    <w:rsid w:val="00943735"/>
    <w:rsid w:val="00950F1B"/>
    <w:rsid w:val="009630D7"/>
    <w:rsid w:val="009739F9"/>
    <w:rsid w:val="00993C6A"/>
    <w:rsid w:val="00995470"/>
    <w:rsid w:val="009957B3"/>
    <w:rsid w:val="009975DD"/>
    <w:rsid w:val="009A53AF"/>
    <w:rsid w:val="009A7644"/>
    <w:rsid w:val="009B08A4"/>
    <w:rsid w:val="009B5AD1"/>
    <w:rsid w:val="009C0E82"/>
    <w:rsid w:val="009C1DF0"/>
    <w:rsid w:val="009E11EA"/>
    <w:rsid w:val="009E2596"/>
    <w:rsid w:val="009E5D22"/>
    <w:rsid w:val="009E6B24"/>
    <w:rsid w:val="009F0576"/>
    <w:rsid w:val="00A12B02"/>
    <w:rsid w:val="00A17415"/>
    <w:rsid w:val="00A459D0"/>
    <w:rsid w:val="00A52B22"/>
    <w:rsid w:val="00A644B7"/>
    <w:rsid w:val="00A67787"/>
    <w:rsid w:val="00A730C3"/>
    <w:rsid w:val="00A80A00"/>
    <w:rsid w:val="00A84359"/>
    <w:rsid w:val="00A94EFB"/>
    <w:rsid w:val="00AA10CB"/>
    <w:rsid w:val="00AA4AA1"/>
    <w:rsid w:val="00AA55F5"/>
    <w:rsid w:val="00AA7947"/>
    <w:rsid w:val="00AB1872"/>
    <w:rsid w:val="00AB3562"/>
    <w:rsid w:val="00AB7895"/>
    <w:rsid w:val="00AB7E86"/>
    <w:rsid w:val="00AC1229"/>
    <w:rsid w:val="00AD5BF5"/>
    <w:rsid w:val="00AE0FA8"/>
    <w:rsid w:val="00AE5D24"/>
    <w:rsid w:val="00B10E24"/>
    <w:rsid w:val="00B2197A"/>
    <w:rsid w:val="00B22EB6"/>
    <w:rsid w:val="00B23545"/>
    <w:rsid w:val="00B32B38"/>
    <w:rsid w:val="00B45C58"/>
    <w:rsid w:val="00B568E0"/>
    <w:rsid w:val="00B81B76"/>
    <w:rsid w:val="00B82B58"/>
    <w:rsid w:val="00B965F3"/>
    <w:rsid w:val="00BB286B"/>
    <w:rsid w:val="00BC2015"/>
    <w:rsid w:val="00BD059E"/>
    <w:rsid w:val="00BD1D67"/>
    <w:rsid w:val="00BE3004"/>
    <w:rsid w:val="00BE3CB4"/>
    <w:rsid w:val="00BF78A7"/>
    <w:rsid w:val="00C06675"/>
    <w:rsid w:val="00C0775B"/>
    <w:rsid w:val="00C16E46"/>
    <w:rsid w:val="00C23B0C"/>
    <w:rsid w:val="00C25D2E"/>
    <w:rsid w:val="00C41C1F"/>
    <w:rsid w:val="00C41F30"/>
    <w:rsid w:val="00C433D0"/>
    <w:rsid w:val="00C50A5B"/>
    <w:rsid w:val="00C50D2F"/>
    <w:rsid w:val="00C5629C"/>
    <w:rsid w:val="00C63E56"/>
    <w:rsid w:val="00C67664"/>
    <w:rsid w:val="00C677DD"/>
    <w:rsid w:val="00C8232F"/>
    <w:rsid w:val="00CA25A8"/>
    <w:rsid w:val="00CB6806"/>
    <w:rsid w:val="00CC2D6B"/>
    <w:rsid w:val="00CD3911"/>
    <w:rsid w:val="00CE3862"/>
    <w:rsid w:val="00CF68EA"/>
    <w:rsid w:val="00D33D15"/>
    <w:rsid w:val="00D439D9"/>
    <w:rsid w:val="00D463E2"/>
    <w:rsid w:val="00D64E22"/>
    <w:rsid w:val="00D742D2"/>
    <w:rsid w:val="00D74CCB"/>
    <w:rsid w:val="00D75F33"/>
    <w:rsid w:val="00D81728"/>
    <w:rsid w:val="00DC22E1"/>
    <w:rsid w:val="00DC4411"/>
    <w:rsid w:val="00DD52C4"/>
    <w:rsid w:val="00DE09C3"/>
    <w:rsid w:val="00DF0067"/>
    <w:rsid w:val="00E01CF9"/>
    <w:rsid w:val="00E105B8"/>
    <w:rsid w:val="00E17024"/>
    <w:rsid w:val="00E25069"/>
    <w:rsid w:val="00E26297"/>
    <w:rsid w:val="00E37B17"/>
    <w:rsid w:val="00E43209"/>
    <w:rsid w:val="00E5093A"/>
    <w:rsid w:val="00E615DD"/>
    <w:rsid w:val="00E64BDE"/>
    <w:rsid w:val="00E76D90"/>
    <w:rsid w:val="00E80DCA"/>
    <w:rsid w:val="00E818DD"/>
    <w:rsid w:val="00E97890"/>
    <w:rsid w:val="00EB26EA"/>
    <w:rsid w:val="00EB3AC9"/>
    <w:rsid w:val="00EF357E"/>
    <w:rsid w:val="00F04D6F"/>
    <w:rsid w:val="00F174A7"/>
    <w:rsid w:val="00F306B1"/>
    <w:rsid w:val="00F3207C"/>
    <w:rsid w:val="00F34971"/>
    <w:rsid w:val="00F407C4"/>
    <w:rsid w:val="00F441BD"/>
    <w:rsid w:val="00F45160"/>
    <w:rsid w:val="00F47E4F"/>
    <w:rsid w:val="00F53DC7"/>
    <w:rsid w:val="00F77BBE"/>
    <w:rsid w:val="00F90E8F"/>
    <w:rsid w:val="00FA4CA6"/>
    <w:rsid w:val="00FB621F"/>
    <w:rsid w:val="00FC7534"/>
    <w:rsid w:val="00FD0878"/>
    <w:rsid w:val="00FD26DB"/>
    <w:rsid w:val="00FD3B35"/>
    <w:rsid w:val="00FD777B"/>
    <w:rsid w:val="00FE3019"/>
    <w:rsid w:val="00FE3654"/>
    <w:rsid w:val="00FF1BB9"/>
    <w:rsid w:val="00FF5364"/>
    <w:rsid w:val="09265392"/>
    <w:rsid w:val="10EA070A"/>
    <w:rsid w:val="1F730F5F"/>
    <w:rsid w:val="24F905DE"/>
    <w:rsid w:val="26473F57"/>
    <w:rsid w:val="3699059A"/>
    <w:rsid w:val="3A6D5DBB"/>
    <w:rsid w:val="3DC71663"/>
    <w:rsid w:val="408D6B62"/>
    <w:rsid w:val="476E5077"/>
    <w:rsid w:val="4E640937"/>
    <w:rsid w:val="567914D1"/>
    <w:rsid w:val="63EE0861"/>
    <w:rsid w:val="6789166B"/>
    <w:rsid w:val="68325454"/>
    <w:rsid w:val="68BB357F"/>
    <w:rsid w:val="70A93A60"/>
    <w:rsid w:val="77D3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E623B"/>
  <w15:chartTrackingRefBased/>
  <w15:docId w15:val="{38ABCE29-4AA0-4865-97B7-8BDCA749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0000FF"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color w:val="0000FF"/>
      <w:sz w:val="46"/>
      <w:u w:val="single"/>
    </w:rPr>
  </w:style>
  <w:style w:type="paragraph" w:styleId="Ttulo6">
    <w:name w:val="heading 6"/>
    <w:basedOn w:val="Normal"/>
    <w:next w:val="Normal"/>
    <w:qFormat/>
    <w:pPr>
      <w:keepNext/>
      <w:ind w:firstLine="3686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b/>
      <w:sz w:val="24"/>
    </w:rPr>
  </w:style>
  <w:style w:type="character" w:customStyle="1" w:styleId="Ttulo2Char">
    <w:name w:val="Título 2 Char"/>
    <w:link w:val="Ttulo2"/>
    <w:rPr>
      <w:b/>
    </w:rPr>
  </w:style>
  <w:style w:type="character" w:customStyle="1" w:styleId="Ttulo3Char">
    <w:name w:val="Título 3 Char"/>
    <w:link w:val="Ttulo3"/>
    <w:rPr>
      <w:b/>
      <w:sz w:val="24"/>
    </w:rPr>
  </w:style>
  <w:style w:type="character" w:styleId="Forte">
    <w:name w:val="Strong"/>
    <w:uiPriority w:val="22"/>
    <w:qFormat/>
    <w:rPr>
      <w:b/>
      <w:bCs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</w:style>
  <w:style w:type="character" w:customStyle="1" w:styleId="CorpodetextoChar">
    <w:name w:val="Corpo de texto Char"/>
    <w:link w:val="Corpodetexto"/>
    <w:rPr>
      <w:sz w:val="24"/>
    </w:rPr>
  </w:style>
  <w:style w:type="paragraph" w:styleId="Ttulo">
    <w:name w:val="Title"/>
    <w:basedOn w:val="Normal"/>
    <w:link w:val="TtuloChar"/>
    <w:qFormat/>
    <w:pPr>
      <w:jc w:val="center"/>
    </w:pPr>
    <w:rPr>
      <w:b/>
      <w:u w:val="single"/>
    </w:rPr>
  </w:style>
  <w:style w:type="character" w:customStyle="1" w:styleId="TtuloChar">
    <w:name w:val="Título Char"/>
    <w:link w:val="Ttulo"/>
    <w:rPr>
      <w:b/>
      <w:sz w:val="24"/>
      <w:u w:val="single"/>
    </w:r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Pr>
      <w:sz w:val="24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Pr>
      <w:snapToGrid w:val="0"/>
      <w:sz w:val="20"/>
    </w:rPr>
  </w:style>
  <w:style w:type="character" w:customStyle="1" w:styleId="TextodenotaderodapChar">
    <w:name w:val="Texto de nota de rodapé Char"/>
    <w:link w:val="Textodenotaderodap"/>
    <w:rPr>
      <w:snapToGrid w:val="0"/>
    </w:rPr>
  </w:style>
  <w:style w:type="paragraph" w:styleId="Sumrio1">
    <w:name w:val="toc 1"/>
    <w:basedOn w:val="Normal"/>
    <w:next w:val="Normal"/>
    <w:pPr>
      <w:tabs>
        <w:tab w:val="right" w:leader="dot" w:pos="9923"/>
      </w:tabs>
      <w:spacing w:before="120" w:after="120"/>
      <w:jc w:val="both"/>
    </w:pPr>
    <w:rPr>
      <w:rFonts w:ascii="Arial" w:hAnsi="Arial"/>
      <w:caps/>
      <w:sz w:val="22"/>
      <w:szCs w:val="24"/>
    </w:rPr>
  </w:style>
  <w:style w:type="paragraph" w:styleId="Recuodecorpodetexto">
    <w:name w:val="Body Text Indent"/>
    <w:basedOn w:val="Normal"/>
    <w:pPr>
      <w:ind w:firstLine="284"/>
      <w:jc w:val="both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ubtitulo2ordem">
    <w:name w:val="subtitulo 2ordem"/>
    <w:basedOn w:val="Normal"/>
    <w:pPr>
      <w:spacing w:after="240" w:line="360" w:lineRule="auto"/>
      <w:jc w:val="both"/>
    </w:pPr>
    <w:rPr>
      <w:rFonts w:ascii="Arial" w:hAnsi="Arial"/>
      <w:sz w:val="22"/>
    </w:rPr>
  </w:style>
  <w:style w:type="paragraph" w:styleId="PargrafodaLista">
    <w:name w:val="List Paragraph"/>
    <w:basedOn w:val="Standard"/>
    <w:qFormat/>
    <w:pPr>
      <w:ind w:left="720"/>
    </w:pPr>
  </w:style>
  <w:style w:type="paragraph" w:customStyle="1" w:styleId="Normal2">
    <w:name w:val="Normal2"/>
    <w:qFormat/>
    <w:pPr>
      <w:suppressAutoHyphens/>
      <w:autoSpaceDE w:val="0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ruzmaltina.pr.gov.br" TargetMode="External"/><Relationship Id="rId1" Type="http://schemas.openxmlformats.org/officeDocument/2006/relationships/hyperlink" Target="mailto:prefeitura@cruzmalti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OF&#205;CI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OFÍCIOS</Template>
  <TotalTime>3</TotalTime>
  <Pages>5</Pages>
  <Words>1432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CUMPRIMENTO DO OBJETIVO</vt:lpstr>
    </vt:vector>
  </TitlesOfParts>
  <Company>Prefeitura do Município de Faxinal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CUMPRIMENTO DO OBJETIVO</dc:title>
  <dc:subject/>
  <dc:creator>Usuario</dc:creator>
  <cp:keywords/>
  <cp:lastModifiedBy>User</cp:lastModifiedBy>
  <cp:revision>3</cp:revision>
  <cp:lastPrinted>2024-04-16T17:35:00Z</cp:lastPrinted>
  <dcterms:created xsi:type="dcterms:W3CDTF">2024-04-16T19:09:00Z</dcterms:created>
  <dcterms:modified xsi:type="dcterms:W3CDTF">2024-04-29T21:19:00Z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A98A557067D94923B7B260BA0B7D838B_13</vt:lpwstr>
  </property>
</Properties>
</file>