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D737" w14:textId="77777777" w:rsidR="00562EDD" w:rsidRDefault="00562EDD">
      <w:pPr>
        <w:jc w:val="both"/>
        <w:rPr>
          <w:rFonts w:ascii="Bookman Old Style" w:hAnsi="Bookman Old Style"/>
        </w:rPr>
      </w:pPr>
    </w:p>
    <w:p w14:paraId="22CA4AA6" w14:textId="77777777" w:rsidR="00562EDD" w:rsidRDefault="00B16F9C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 DE LEI Nº.    0</w:t>
      </w:r>
      <w:r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>/2020</w:t>
      </w:r>
    </w:p>
    <w:p w14:paraId="459E8AE9" w14:textId="77777777" w:rsidR="00562EDD" w:rsidRDefault="00562E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43E6DB" w14:textId="77777777" w:rsidR="00562EDD" w:rsidRDefault="00B16F9C">
      <w:pPr>
        <w:pStyle w:val="Recuodecorpodetexto"/>
        <w:ind w:left="396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para o Exercício de 2020.</w:t>
      </w:r>
    </w:p>
    <w:p w14:paraId="3DFC5413" w14:textId="77777777" w:rsidR="00562EDD" w:rsidRDefault="00562EDD">
      <w:pPr>
        <w:pStyle w:val="Recuodecorpodetexto"/>
        <w:ind w:left="3969"/>
        <w:jc w:val="both"/>
        <w:rPr>
          <w:rFonts w:ascii="Arial" w:hAnsi="Arial" w:cs="Arial"/>
          <w:sz w:val="22"/>
          <w:szCs w:val="22"/>
        </w:rPr>
      </w:pPr>
    </w:p>
    <w:p w14:paraId="143221C4" w14:textId="77777777" w:rsidR="00562EDD" w:rsidRDefault="00562E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460CE8" w14:textId="77777777" w:rsidR="00562EDD" w:rsidRDefault="00B16F9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PREFEITA MUNICIPAL DE 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</w:t>
      </w:r>
      <w:r>
        <w:rPr>
          <w:rFonts w:ascii="Arial" w:hAnsi="Arial" w:cs="Arial"/>
          <w:sz w:val="22"/>
          <w:szCs w:val="22"/>
        </w:rPr>
        <w:t xml:space="preserve">,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3469FCAB" w14:textId="77777777" w:rsidR="00562EDD" w:rsidRDefault="00562ED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10F0489" w14:textId="77777777" w:rsidR="00562EDD" w:rsidRDefault="00B16F9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a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seguinte:</w:t>
      </w:r>
    </w:p>
    <w:p w14:paraId="182DE280" w14:textId="77777777" w:rsidR="00562EDD" w:rsidRDefault="00562ED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356FD1A" w14:textId="77777777" w:rsidR="00562EDD" w:rsidRDefault="00B16F9C">
      <w:pPr>
        <w:pStyle w:val="Ttul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   </w:t>
      </w:r>
      <w:r>
        <w:rPr>
          <w:sz w:val="22"/>
          <w:szCs w:val="22"/>
        </w:rPr>
        <w:t xml:space="preserve"> E    I</w:t>
      </w:r>
    </w:p>
    <w:p w14:paraId="2B38958E" w14:textId="77777777" w:rsidR="00562EDD" w:rsidRDefault="00562EDD"/>
    <w:p w14:paraId="34CE2A86" w14:textId="77777777" w:rsidR="00562EDD" w:rsidRDefault="00B16F9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alterando 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2020.</w:t>
      </w:r>
    </w:p>
    <w:p w14:paraId="64422A86" w14:textId="77777777" w:rsidR="00562EDD" w:rsidRDefault="00B16F9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663A55" w14:textId="77777777" w:rsidR="00562EDD" w:rsidRDefault="00B16F9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Fica o Executivo autorizado a abrir no orçamento-prog</w:t>
      </w:r>
      <w:r>
        <w:rPr>
          <w:rFonts w:ascii="Arial" w:hAnsi="Arial" w:cs="Arial"/>
          <w:sz w:val="22"/>
          <w:szCs w:val="22"/>
        </w:rPr>
        <w:t xml:space="preserve">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para o exercício de 2020, um Crédito Adicional Especial no Valor de R$ </w:t>
      </w:r>
      <w:r>
        <w:rPr>
          <w:rFonts w:ascii="Arial" w:hAnsi="Arial" w:cs="Arial"/>
          <w:sz w:val="22"/>
          <w:szCs w:val="22"/>
        </w:rPr>
        <w:t xml:space="preserve">65.774,08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sessenta e cinco mil setecentos e setenta e quatro reais e oito centavos</w:t>
      </w:r>
      <w:r>
        <w:rPr>
          <w:rFonts w:ascii="Arial" w:hAnsi="Arial" w:cs="Arial"/>
          <w:sz w:val="22"/>
          <w:szCs w:val="22"/>
        </w:rPr>
        <w:t>), mediante as seguintes providências:</w:t>
      </w:r>
    </w:p>
    <w:p w14:paraId="41D8BF0C" w14:textId="77777777" w:rsidR="00562EDD" w:rsidRDefault="00562EDD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332605FA" w14:textId="77777777" w:rsidR="00562EDD" w:rsidRDefault="00562EDD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54C020C2" w14:textId="77777777" w:rsidR="00562EDD" w:rsidRDefault="00B16F9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Suplementação de Dotaçã</w:t>
      </w:r>
      <w:r>
        <w:rPr>
          <w:rFonts w:ascii="Arial" w:hAnsi="Arial" w:cs="Arial"/>
          <w:b/>
          <w:sz w:val="22"/>
          <w:szCs w:val="22"/>
        </w:rPr>
        <w:t>o:</w:t>
      </w:r>
    </w:p>
    <w:tbl>
      <w:tblPr>
        <w:tblW w:w="10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6090"/>
        <w:gridCol w:w="1680"/>
      </w:tblGrid>
      <w:tr w:rsidR="00562EDD" w14:paraId="30D0B03E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39E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8E0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978" w14:textId="77777777" w:rsidR="00562EDD" w:rsidRDefault="00562E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5DACC222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795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FE5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C30" w14:textId="77777777" w:rsidR="00562EDD" w:rsidRDefault="00562E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1226E802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691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</w:t>
            </w: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7F2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 de Atenção Básica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5DC" w14:textId="77777777" w:rsidR="00562EDD" w:rsidRDefault="00562E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692DA8AC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B75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3.3.90.93.00.00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353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INDENIZAÇÕES E RESTITUIÇÕES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FAE" w14:textId="77777777" w:rsidR="00562EDD" w:rsidRDefault="00B16F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R$ 22,86</w:t>
            </w:r>
          </w:p>
        </w:tc>
      </w:tr>
      <w:tr w:rsidR="00562EDD" w14:paraId="03D16498" w14:textId="7777777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CBF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231" w14:textId="77777777" w:rsidR="00562EDD" w:rsidRDefault="00B16F9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R$ 22,86</w:t>
            </w:r>
          </w:p>
        </w:tc>
      </w:tr>
      <w:tr w:rsidR="00562EDD" w14:paraId="395A318A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930" w14:textId="77777777" w:rsidR="00562EDD" w:rsidRDefault="00562E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23A" w14:textId="77777777" w:rsidR="00562EDD" w:rsidRDefault="00562E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953" w14:textId="77777777" w:rsidR="00562EDD" w:rsidRDefault="00562E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4BF9789C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38C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1075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897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Enfrentamento da circulação do COVID-19 no município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D74" w14:textId="77777777" w:rsidR="00562EDD" w:rsidRDefault="00562ED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6F59777E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10C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3.3.90.30.00.00 - </w:t>
            </w: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2C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B84" w14:textId="77777777" w:rsidR="00562EDD" w:rsidRDefault="00B16F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R$ 23.037,81</w:t>
            </w:r>
          </w:p>
        </w:tc>
      </w:tr>
      <w:tr w:rsidR="00562EDD" w14:paraId="525BF4AE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662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3.3.90.32.00.00 - </w:t>
            </w: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FF2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ou serviço para distribuição gratuita.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8A7" w14:textId="77777777" w:rsidR="00562EDD" w:rsidRDefault="00B16F9C">
            <w:pPr>
              <w:wordWrap w:val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R$ 2.650,08</w:t>
            </w:r>
          </w:p>
        </w:tc>
      </w:tr>
      <w:tr w:rsidR="00562EDD" w14:paraId="0EE8B194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446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3.3.90.32.00.00 - 497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BD5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ou serviço para </w:t>
            </w:r>
            <w:r>
              <w:rPr>
                <w:rFonts w:ascii="Arial" w:hAnsi="Arial" w:cs="Arial"/>
                <w:sz w:val="22"/>
                <w:szCs w:val="22"/>
              </w:rPr>
              <w:t>distribuição gratuita.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262" w14:textId="77777777" w:rsidR="00562EDD" w:rsidRDefault="00B16F9C">
            <w:pPr>
              <w:wordWrap w:val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R$ 5.890,04</w:t>
            </w:r>
          </w:p>
        </w:tc>
      </w:tr>
      <w:tr w:rsidR="00562EDD" w14:paraId="041F222B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22E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3.3.90.39.00.00 - 494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705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Serviço de Terceiro Pessoal Jurídica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928" w14:textId="77777777" w:rsidR="00562EDD" w:rsidRDefault="00B16F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R$ 24.173,29</w:t>
            </w:r>
          </w:p>
        </w:tc>
      </w:tr>
      <w:tr w:rsidR="00562EDD" w14:paraId="6E2259DF" w14:textId="77777777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EE8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3.3.71.70.00.00 - </w:t>
            </w: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877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Rateio pela participação em Consórcio Público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36F" w14:textId="77777777" w:rsidR="00562EDD" w:rsidRDefault="00B16F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R$ 10.000,00</w:t>
            </w:r>
          </w:p>
        </w:tc>
      </w:tr>
      <w:tr w:rsidR="00562EDD" w14:paraId="74FEE204" w14:textId="7777777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3F8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SUBTOTAL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090" w14:textId="77777777" w:rsidR="00562EDD" w:rsidRDefault="00B16F9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R$ 65.751,22 </w:t>
            </w:r>
          </w:p>
        </w:tc>
      </w:tr>
      <w:tr w:rsidR="00562EDD" w14:paraId="49CA52E1" w14:textId="77777777"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C03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2F9" w14:textId="77777777" w:rsidR="00562EDD" w:rsidRDefault="00B16F9C">
            <w:pPr>
              <w:wordWrap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>65.774,08</w:t>
            </w:r>
          </w:p>
        </w:tc>
      </w:tr>
    </w:tbl>
    <w:p w14:paraId="71DA52F5" w14:textId="77777777" w:rsidR="00562EDD" w:rsidRDefault="00B16F9C">
      <w:pPr>
        <w:pStyle w:val="Corpodetexto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FAD7D4F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1DAD26BA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16B37E0C" w14:textId="77777777" w:rsidR="00562EDD" w:rsidRDefault="00B16F9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Como recurso para a abertura dos Créditos previstos no artigo anterior, é indicado como fonte de recursos o citado no § 1º, inciso</w:t>
      </w:r>
      <w:r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do Art. 43 da Lei Federal nº 4.320/64, abaixo especificada;</w:t>
      </w:r>
    </w:p>
    <w:p w14:paraId="7EF748FB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6FB7AEFB" w14:textId="77777777" w:rsidR="00562EDD" w:rsidRDefault="00B16F9C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I– </w:t>
      </w:r>
      <w:r>
        <w:rPr>
          <w:rFonts w:ascii="Arial" w:hAnsi="Arial" w:cs="Arial"/>
          <w:b/>
          <w:sz w:val="22"/>
          <w:szCs w:val="22"/>
        </w:rPr>
        <w:t>SUPERÁVIT:</w:t>
      </w:r>
    </w:p>
    <w:tbl>
      <w:tblPr>
        <w:tblpPr w:leftFromText="180" w:rightFromText="180" w:vertAnchor="text" w:horzAnchor="page" w:tblpX="1254" w:tblpY="24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293"/>
        <w:gridCol w:w="2183"/>
      </w:tblGrid>
      <w:tr w:rsidR="00562EDD" w14:paraId="1C1507F5" w14:textId="77777777">
        <w:tc>
          <w:tcPr>
            <w:tcW w:w="1447" w:type="dxa"/>
          </w:tcPr>
          <w:p w14:paraId="74C0BF4D" w14:textId="77777777" w:rsidR="00562EDD" w:rsidRDefault="00B16F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onte</w:t>
            </w:r>
          </w:p>
        </w:tc>
        <w:tc>
          <w:tcPr>
            <w:tcW w:w="6293" w:type="dxa"/>
          </w:tcPr>
          <w:p w14:paraId="2177F160" w14:textId="77777777" w:rsidR="00562EDD" w:rsidRDefault="00B16F9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1173A1DB" w14:textId="77777777" w:rsidR="00562EDD" w:rsidRDefault="00B16F9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562EDD" w14:paraId="42A07C12" w14:textId="77777777">
        <w:tc>
          <w:tcPr>
            <w:tcW w:w="1447" w:type="dxa"/>
          </w:tcPr>
          <w:p w14:paraId="6DDEFAB9" w14:textId="77777777" w:rsidR="00562EDD" w:rsidRDefault="00562EDD">
            <w:pPr>
              <w:jc w:val="both"/>
              <w:rPr>
                <w:rFonts w:ascii="Arial" w:hAnsi="Arial" w:cs="Arial"/>
              </w:rPr>
            </w:pPr>
          </w:p>
          <w:p w14:paraId="1E45784E" w14:textId="77777777" w:rsidR="00562EDD" w:rsidRDefault="00B16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6293" w:type="dxa"/>
          </w:tcPr>
          <w:p w14:paraId="6A250DCB" w14:textId="77777777" w:rsidR="00562EDD" w:rsidRDefault="00562EDD">
            <w:pPr>
              <w:rPr>
                <w:rFonts w:ascii="Arial" w:hAnsi="Arial" w:cs="Arial"/>
              </w:rPr>
            </w:pPr>
          </w:p>
          <w:p w14:paraId="2A8F0D33" w14:textId="77777777" w:rsidR="00562EDD" w:rsidRDefault="00B16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Retenções de caráter consignatário</w:t>
            </w:r>
          </w:p>
        </w:tc>
        <w:tc>
          <w:tcPr>
            <w:tcW w:w="2183" w:type="dxa"/>
          </w:tcPr>
          <w:p w14:paraId="4CFA18F2" w14:textId="77777777" w:rsidR="00562EDD" w:rsidRDefault="00562EDD">
            <w:pPr>
              <w:jc w:val="right"/>
              <w:rPr>
                <w:rFonts w:ascii="Arial" w:hAnsi="Arial" w:cs="Arial"/>
              </w:rPr>
            </w:pPr>
          </w:p>
          <w:p w14:paraId="319BD754" w14:textId="77777777" w:rsidR="00562EDD" w:rsidRDefault="00B16F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R$ 12,31</w:t>
            </w:r>
          </w:p>
        </w:tc>
      </w:tr>
      <w:tr w:rsidR="00562EDD" w14:paraId="762C11B6" w14:textId="77777777">
        <w:tc>
          <w:tcPr>
            <w:tcW w:w="1447" w:type="dxa"/>
          </w:tcPr>
          <w:p w14:paraId="21C48E1D" w14:textId="77777777" w:rsidR="00562EDD" w:rsidRDefault="00B16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6293" w:type="dxa"/>
          </w:tcPr>
          <w:p w14:paraId="0C8CC4A2" w14:textId="77777777" w:rsidR="00562EDD" w:rsidRDefault="00B16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VIGILANCIA EM SAÚDE</w:t>
            </w:r>
          </w:p>
        </w:tc>
        <w:tc>
          <w:tcPr>
            <w:tcW w:w="2183" w:type="dxa"/>
          </w:tcPr>
          <w:p w14:paraId="0F602304" w14:textId="77777777" w:rsidR="00562EDD" w:rsidRDefault="00B16F9C">
            <w:pPr>
              <w:wordWrap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R$ 2.120,08</w:t>
            </w:r>
          </w:p>
        </w:tc>
      </w:tr>
      <w:tr w:rsidR="00562EDD" w14:paraId="34BFE5D4" w14:textId="77777777">
        <w:tc>
          <w:tcPr>
            <w:tcW w:w="1447" w:type="dxa"/>
          </w:tcPr>
          <w:p w14:paraId="13B07B57" w14:textId="77777777" w:rsidR="00562EDD" w:rsidRDefault="00B16F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6293" w:type="dxa"/>
          </w:tcPr>
          <w:p w14:paraId="747874C5" w14:textId="77777777" w:rsidR="00562EDD" w:rsidRDefault="00B16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do SUS - Estadual</w:t>
            </w:r>
          </w:p>
        </w:tc>
        <w:tc>
          <w:tcPr>
            <w:tcW w:w="2183" w:type="dxa"/>
          </w:tcPr>
          <w:p w14:paraId="4C24A44C" w14:textId="77777777" w:rsidR="00562EDD" w:rsidRDefault="00B16F9C">
            <w:pPr>
              <w:wordWrap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R$ 5.790,04</w:t>
            </w:r>
          </w:p>
        </w:tc>
      </w:tr>
      <w:tr w:rsidR="00562EDD" w14:paraId="406C6200" w14:textId="77777777">
        <w:tc>
          <w:tcPr>
            <w:tcW w:w="7740" w:type="dxa"/>
            <w:gridSpan w:val="2"/>
          </w:tcPr>
          <w:p w14:paraId="40E0D746" w14:textId="77777777" w:rsidR="00562EDD" w:rsidRDefault="00B16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0CAF696E" w14:textId="77777777" w:rsidR="00562EDD" w:rsidRDefault="00B16F9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R$ 7.922,43</w:t>
            </w:r>
          </w:p>
        </w:tc>
      </w:tr>
    </w:tbl>
    <w:p w14:paraId="18F866F4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0C926706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6787167C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447693EC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1415AEC3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1EDE2324" w14:textId="77777777" w:rsidR="00562EDD" w:rsidRDefault="00B16F9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Créditos previstos no </w:t>
      </w:r>
      <w:r>
        <w:rPr>
          <w:rFonts w:ascii="Arial" w:hAnsi="Arial" w:cs="Arial"/>
          <w:color w:val="000000"/>
          <w:sz w:val="22"/>
          <w:szCs w:val="22"/>
        </w:rPr>
        <w:t>artigo anterior, é indicado como fonte de recursos o citado no § 1º, inciso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II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do Art. 43 da Lei Federal nº 4.320/64, abaixo especificada;</w:t>
      </w:r>
    </w:p>
    <w:p w14:paraId="4AF6EDAD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E08D844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45DA16A" w14:textId="77777777" w:rsidR="00562EDD" w:rsidRDefault="00B16F9C">
      <w:pPr>
        <w:pStyle w:val="Corpodetex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I – E</w:t>
      </w:r>
      <w:r>
        <w:rPr>
          <w:rFonts w:ascii="Arial" w:hAnsi="Arial" w:cs="Arial"/>
          <w:b/>
          <w:sz w:val="22"/>
          <w:szCs w:val="22"/>
        </w:rPr>
        <w:t xml:space="preserve">XCESSO E PROVÁVEL EXC ESSO </w:t>
      </w:r>
      <w:r>
        <w:rPr>
          <w:rFonts w:ascii="Arial" w:hAnsi="Arial" w:cs="Arial"/>
          <w:b/>
          <w:sz w:val="22"/>
          <w:szCs w:val="22"/>
        </w:rPr>
        <w:t>DE ARRECADAÇÃO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4115"/>
        <w:gridCol w:w="2105"/>
      </w:tblGrid>
      <w:tr w:rsidR="00562EDD" w14:paraId="4D38BB68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AF7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5D6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Remuneração de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Depósitos Bancários - Principal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F 094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DBF" w14:textId="77777777" w:rsidR="00562EDD" w:rsidRDefault="00B16F9C">
            <w:pPr>
              <w:wordWrap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R$ 10,55</w:t>
            </w:r>
          </w:p>
        </w:tc>
      </w:tr>
      <w:tr w:rsidR="00562EDD" w14:paraId="7AE3A778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884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A5D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Remuneração de Depósitos Bancários - Principal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F 497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448" w14:textId="77777777" w:rsidR="00562EDD" w:rsidRDefault="00B16F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R$ 530,00</w:t>
            </w:r>
          </w:p>
        </w:tc>
      </w:tr>
      <w:tr w:rsidR="00562EDD" w14:paraId="34089531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438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1EE" w14:textId="77777777" w:rsidR="00562EDD" w:rsidRDefault="00B16F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Remuneração de Depósitos Bancários - Principal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F 499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A08" w14:textId="77777777" w:rsidR="00562EDD" w:rsidRDefault="00B16F9C">
            <w:pPr>
              <w:wordWrap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R$ 100,00 </w:t>
            </w:r>
          </w:p>
        </w:tc>
      </w:tr>
      <w:tr w:rsidR="00562EDD" w14:paraId="69745B91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3C03" w14:textId="77777777" w:rsidR="00562EDD" w:rsidRDefault="00B16F9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1.7.1.8.03.9.1.00.00.00.00.00.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64E" w14:textId="77777777" w:rsidR="00562EDD" w:rsidRDefault="00B16F9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Transferência de Recursos do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SUS  Outros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Programas Financiados por Transferências Fundo a Fundo - </w:t>
            </w:r>
            <w:r>
              <w:rPr>
                <w:rFonts w:ascii="Arial" w:hAnsi="Arial" w:cs="Arial"/>
                <w:color w:val="000000"/>
              </w:rPr>
              <w:t>CORONAVÍRUS (COVID-19)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8A9" w14:textId="77777777" w:rsidR="00562EDD" w:rsidRDefault="00B16F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R$ 34.173,29</w:t>
            </w:r>
          </w:p>
        </w:tc>
      </w:tr>
      <w:tr w:rsidR="00562EDD" w14:paraId="1B899216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127" w14:textId="77777777" w:rsidR="00562EDD" w:rsidRDefault="00562E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917" w14:textId="77777777" w:rsidR="00562EDD" w:rsidRDefault="00B16F9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B9D" w14:textId="77777777" w:rsidR="00562EDD" w:rsidRDefault="00B16F9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R$ 34.813,84 </w:t>
            </w:r>
          </w:p>
        </w:tc>
      </w:tr>
    </w:tbl>
    <w:p w14:paraId="07B606C6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D2E96EB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F60B008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DE3B9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5E840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74BDA5B" w14:textId="77777777" w:rsidR="00562EDD" w:rsidRDefault="00B16F9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Créditos  </w:t>
      </w:r>
      <w:r>
        <w:rPr>
          <w:rFonts w:ascii="Arial" w:hAnsi="Arial" w:cs="Arial"/>
          <w:color w:val="000000"/>
          <w:sz w:val="22"/>
          <w:szCs w:val="22"/>
        </w:rPr>
        <w:t>previstos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no  artigo  anterior, é indicado como fonte  de recursos o citado no § 1º, inciso I</w:t>
      </w:r>
      <w:r>
        <w:rPr>
          <w:rFonts w:ascii="Arial" w:hAnsi="Arial" w:cs="Arial"/>
          <w:color w:val="000000"/>
          <w:sz w:val="22"/>
          <w:szCs w:val="22"/>
        </w:rPr>
        <w:t>II</w:t>
      </w:r>
      <w:r>
        <w:rPr>
          <w:rFonts w:ascii="Arial" w:hAnsi="Arial" w:cs="Arial"/>
          <w:color w:val="000000"/>
          <w:sz w:val="22"/>
          <w:szCs w:val="22"/>
        </w:rPr>
        <w:t xml:space="preserve"> , do Art. 43 da Lei Federal nº 4.320/64, abaixo especificada;</w:t>
      </w:r>
    </w:p>
    <w:p w14:paraId="1404BF9C" w14:textId="77777777" w:rsidR="00562EDD" w:rsidRDefault="00562E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5378264" w14:textId="77777777" w:rsidR="00562EDD" w:rsidRDefault="00562ED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D91EB15" w14:textId="77777777" w:rsidR="00562EDD" w:rsidRDefault="00B16F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 – Anulação de Dotação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76"/>
        <w:gridCol w:w="1680"/>
      </w:tblGrid>
      <w:tr w:rsidR="00562EDD" w14:paraId="4AF45F2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34F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DC3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CÂMARA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012" w14:textId="77777777" w:rsidR="00562EDD" w:rsidRDefault="00562E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661A087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084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01.001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728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CÂMARA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402" w14:textId="77777777" w:rsidR="00562EDD" w:rsidRDefault="00562E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6D929D2E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932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01.001.01.031.0001.2001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178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Manutenção das Atividades do Legislativo 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C2C" w14:textId="77777777" w:rsidR="00562EDD" w:rsidRDefault="00562ED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EDD" w14:paraId="34FCDD7F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ED0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3.1.90.11.00.00 - 1000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A34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F228" w14:textId="77777777" w:rsidR="00562EDD" w:rsidRDefault="00B16F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23.037,81</w:t>
            </w:r>
          </w:p>
        </w:tc>
      </w:tr>
      <w:tr w:rsidR="00562EDD" w14:paraId="57B3C2D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95E" w14:textId="77777777" w:rsidR="00562EDD" w:rsidRDefault="00562E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8E2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8DC" w14:textId="77777777" w:rsidR="00562EDD" w:rsidRDefault="00B16F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/>
                <w:sz w:val="22"/>
                <w:szCs w:val="22"/>
              </w:rPr>
              <w:t>23.037,81</w:t>
            </w:r>
          </w:p>
        </w:tc>
      </w:tr>
    </w:tbl>
    <w:p w14:paraId="26464716" w14:textId="77777777" w:rsidR="00562EDD" w:rsidRDefault="00B16F9C">
      <w:pPr>
        <w:pStyle w:val="Corpodetexto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121EB6F" w14:textId="77777777" w:rsidR="00562EDD" w:rsidRDefault="00562EDD">
      <w:pPr>
        <w:pStyle w:val="Corpodetexto"/>
        <w:ind w:left="1080" w:hanging="1080"/>
        <w:rPr>
          <w:sz w:val="22"/>
          <w:szCs w:val="22"/>
        </w:rPr>
      </w:pPr>
    </w:p>
    <w:p w14:paraId="3D51F65D" w14:textId="77777777" w:rsidR="00562EDD" w:rsidRDefault="00562EDD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0C651D23" w14:textId="77777777" w:rsidR="00562EDD" w:rsidRDefault="00B16F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E1B88E8" w14:textId="77777777" w:rsidR="00562EDD" w:rsidRDefault="00B16F9C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cs="Arial"/>
          <w:b/>
          <w:sz w:val="22"/>
          <w:szCs w:val="22"/>
        </w:rPr>
        <w:t xml:space="preserve"> </w:t>
      </w:r>
      <w:r>
        <w:t xml:space="preserve">- </w:t>
      </w:r>
      <w:r>
        <w:rPr>
          <w:rFonts w:ascii="Arial" w:hAnsi="Arial" w:cs="Arial"/>
          <w:sz w:val="22"/>
          <w:szCs w:val="22"/>
        </w:rPr>
        <w:t>Fica incluída a ação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1075</w:t>
      </w:r>
      <w:r>
        <w:rPr>
          <w:rFonts w:ascii="Arial" w:hAnsi="Arial" w:cs="Arial"/>
          <w:sz w:val="22"/>
          <w:szCs w:val="22"/>
        </w:rPr>
        <w:t xml:space="preserve"> de Enfrentamento da circulação do "COVID-19" no Município, nas ações do PPA e o Anexo de Metas e Prioridades da Lei de Diretrizes Orçamentárias, assim como, das alterações constantes dessa LEI, ficam alteradas as ações do PPA e o Anexo de Metas e Priorida</w:t>
      </w:r>
      <w:r>
        <w:rPr>
          <w:rFonts w:ascii="Arial" w:hAnsi="Arial" w:cs="Arial"/>
          <w:sz w:val="22"/>
          <w:szCs w:val="22"/>
        </w:rPr>
        <w:t>des da Lei de Diretrizes Orçamentárias, no que couber.</w:t>
      </w:r>
    </w:p>
    <w:p w14:paraId="215FE0CF" w14:textId="77777777" w:rsidR="00562EDD" w:rsidRDefault="00562EDD">
      <w:pPr>
        <w:pStyle w:val="Corpodetexto"/>
        <w:rPr>
          <w:b/>
          <w:sz w:val="22"/>
          <w:szCs w:val="22"/>
        </w:rPr>
      </w:pPr>
    </w:p>
    <w:p w14:paraId="76402556" w14:textId="77777777" w:rsidR="00562EDD" w:rsidRDefault="00B16F9C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>Esta Lei entrará em vigor na data de sua publicação, ficando revogadas as disposições em contrário.</w:t>
      </w:r>
    </w:p>
    <w:p w14:paraId="15E540AB" w14:textId="77777777" w:rsidR="00562EDD" w:rsidRDefault="00562EDD">
      <w:pPr>
        <w:pStyle w:val="Corpodetexto"/>
        <w:rPr>
          <w:rFonts w:ascii="Arial" w:hAnsi="Arial" w:cs="Arial"/>
          <w:sz w:val="22"/>
          <w:szCs w:val="22"/>
        </w:rPr>
      </w:pPr>
    </w:p>
    <w:p w14:paraId="16EE8D4E" w14:textId="77777777" w:rsidR="00562EDD" w:rsidRDefault="00B16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PRFEFEITURA DO MUNICIPIO DE </w:t>
      </w:r>
      <w:r>
        <w:rPr>
          <w:rFonts w:ascii="Arial" w:hAnsi="Arial" w:cs="Arial"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oito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do ano </w:t>
      </w:r>
      <w:r>
        <w:rPr>
          <w:rFonts w:ascii="Arial" w:hAnsi="Arial" w:cs="Arial"/>
          <w:sz w:val="22"/>
          <w:szCs w:val="22"/>
        </w:rPr>
        <w:t>de dois mil e vinte (</w:t>
      </w:r>
      <w:r>
        <w:rPr>
          <w:rFonts w:ascii="Arial" w:hAnsi="Arial" w:cs="Arial"/>
          <w:sz w:val="22"/>
          <w:szCs w:val="22"/>
        </w:rPr>
        <w:t>08/05</w:t>
      </w:r>
      <w:r>
        <w:rPr>
          <w:rFonts w:ascii="Arial" w:hAnsi="Arial" w:cs="Arial"/>
          <w:sz w:val="22"/>
          <w:szCs w:val="22"/>
        </w:rPr>
        <w:t>/2020).</w:t>
      </w:r>
    </w:p>
    <w:p w14:paraId="58AFB11E" w14:textId="77777777" w:rsidR="00562EDD" w:rsidRDefault="00562EDD"/>
    <w:p w14:paraId="672AA62F" w14:textId="77777777" w:rsidR="00562EDD" w:rsidRDefault="00562EDD"/>
    <w:p w14:paraId="6A36548E" w14:textId="77777777" w:rsidR="00562EDD" w:rsidRDefault="00562EDD"/>
    <w:p w14:paraId="4156B29D" w14:textId="77777777" w:rsidR="00562EDD" w:rsidRDefault="00562EDD"/>
    <w:p w14:paraId="360F0182" w14:textId="77777777" w:rsidR="00562EDD" w:rsidRDefault="00562EDD"/>
    <w:p w14:paraId="78B9B536" w14:textId="77777777" w:rsidR="00562EDD" w:rsidRDefault="00562EDD"/>
    <w:p w14:paraId="0769C26B" w14:textId="77777777" w:rsidR="00562EDD" w:rsidRDefault="00B16F9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7F5448A0" w14:textId="77777777" w:rsidR="00562EDD" w:rsidRDefault="00B16F9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Prefeita </w:t>
      </w:r>
    </w:p>
    <w:p w14:paraId="5F732672" w14:textId="77777777" w:rsidR="00562EDD" w:rsidRDefault="00562EDD"/>
    <w:p w14:paraId="5F96DB39" w14:textId="77777777" w:rsidR="00562EDD" w:rsidRDefault="00562EDD"/>
    <w:p w14:paraId="3965048E" w14:textId="77777777" w:rsidR="00562EDD" w:rsidRDefault="00562EDD"/>
    <w:p w14:paraId="736C962C" w14:textId="77777777" w:rsidR="00562EDD" w:rsidRDefault="00562EDD"/>
    <w:p w14:paraId="27CA06FA" w14:textId="77777777" w:rsidR="00562EDD" w:rsidRDefault="00562EDD"/>
    <w:p w14:paraId="0C7A7B5E" w14:textId="77777777" w:rsidR="00562EDD" w:rsidRDefault="00562EDD"/>
    <w:p w14:paraId="51DB70C2" w14:textId="77777777" w:rsidR="00562EDD" w:rsidRDefault="00562EDD"/>
    <w:p w14:paraId="6A819160" w14:textId="77777777" w:rsidR="00562EDD" w:rsidRDefault="00562EDD"/>
    <w:p w14:paraId="07B2F3FC" w14:textId="77777777" w:rsidR="00562EDD" w:rsidRDefault="00562EDD"/>
    <w:p w14:paraId="7746B16E" w14:textId="77777777" w:rsidR="00562EDD" w:rsidRDefault="00562EDD"/>
    <w:p w14:paraId="6E11D393" w14:textId="77777777" w:rsidR="00562EDD" w:rsidRDefault="00562EDD"/>
    <w:p w14:paraId="3CEEB01B" w14:textId="77777777" w:rsidR="00562EDD" w:rsidRDefault="00562EDD"/>
    <w:p w14:paraId="2BE6BF78" w14:textId="77777777" w:rsidR="00562EDD" w:rsidRDefault="00562EDD"/>
    <w:p w14:paraId="4E4C3942" w14:textId="77777777" w:rsidR="00562EDD" w:rsidRDefault="00B16F9C">
      <w:pPr>
        <w:jc w:val="center"/>
        <w:rPr>
          <w:b/>
        </w:rPr>
      </w:pPr>
      <w:r>
        <w:rPr>
          <w:b/>
        </w:rPr>
        <w:t xml:space="preserve">JUSTIFICATIVA PROJETO DE LEI </w:t>
      </w:r>
      <w:r>
        <w:rPr>
          <w:b/>
        </w:rPr>
        <w:t xml:space="preserve"> 01</w:t>
      </w:r>
      <w:r>
        <w:rPr>
          <w:b/>
        </w:rPr>
        <w:t>2/2020</w:t>
      </w:r>
    </w:p>
    <w:p w14:paraId="5D3D6A92" w14:textId="77777777" w:rsidR="00562EDD" w:rsidRDefault="00562EDD">
      <w:pPr>
        <w:ind w:firstLine="1701"/>
        <w:jc w:val="both"/>
        <w:rPr>
          <w:b/>
          <w:bCs/>
          <w:color w:val="000000"/>
        </w:rPr>
      </w:pPr>
    </w:p>
    <w:p w14:paraId="182E5BD4" w14:textId="77777777" w:rsidR="00562EDD" w:rsidRDefault="00562EDD">
      <w:pPr>
        <w:ind w:firstLine="1701"/>
        <w:jc w:val="both"/>
        <w:rPr>
          <w:b/>
          <w:bCs/>
          <w:color w:val="000000"/>
        </w:rPr>
      </w:pPr>
    </w:p>
    <w:p w14:paraId="45858000" w14:textId="77777777" w:rsidR="00562EDD" w:rsidRDefault="00B16F9C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inclusão de dotação na Secretaria de Saúde, com os créditos oriundos da anulação das dotações da câmara </w:t>
      </w:r>
      <w:proofErr w:type="spellStart"/>
      <w:r>
        <w:rPr>
          <w:color w:val="000000"/>
        </w:rPr>
        <w:t>municipal,</w:t>
      </w:r>
      <w:r>
        <w:rPr>
          <w:color w:val="000000"/>
        </w:rPr>
        <w:t>não</w:t>
      </w:r>
      <w:proofErr w:type="spellEnd"/>
      <w:r>
        <w:rPr>
          <w:color w:val="000000"/>
        </w:rPr>
        <w:t xml:space="preserve"> ficando, portanto, </w:t>
      </w:r>
      <w:r>
        <w:rPr>
          <w:color w:val="000000"/>
        </w:rPr>
        <w:t xml:space="preserve">alterado o valor global do orçamento municipal, adequando através da redução para cumprimento do limite legal do orçamento do poder Legislativo e aumentando o orçamento do poder Executivo além de anulação parcial de dotação do poder executivo. </w:t>
      </w:r>
      <w:r>
        <w:rPr>
          <w:color w:val="000000"/>
        </w:rPr>
        <w:t xml:space="preserve">Ainda trata </w:t>
      </w:r>
      <w:r>
        <w:rPr>
          <w:color w:val="000000"/>
        </w:rPr>
        <w:t>da devolução dos rendimentos de depósito em caução da reformada vigilância sanitária, e também da inclusão da ação de Enfrentamento da circulação do COVID 19, segue em anexo ata do conselho aprovando a aplicação dos recursos na ação do COVID, tanto do recu</w:t>
      </w:r>
      <w:r>
        <w:rPr>
          <w:color w:val="000000"/>
        </w:rPr>
        <w:t xml:space="preserve">rso obtido por excesso de arrecadação como dos saldos de superávit de recursos do fundo municipal de saúde das contas vinculadas que possuem saldos de portarias já executadas.  </w:t>
      </w:r>
      <w:r>
        <w:rPr>
          <w:color w:val="000000"/>
        </w:rPr>
        <w:t xml:space="preserve"> Solicitamos a votação com urgência para agilizar a adequação dos orçamentos e </w:t>
      </w:r>
      <w:proofErr w:type="gramStart"/>
      <w:r>
        <w:rPr>
          <w:color w:val="000000"/>
        </w:rPr>
        <w:t>revisão  da</w:t>
      </w:r>
      <w:proofErr w:type="gramEnd"/>
      <w:r>
        <w:rPr>
          <w:color w:val="000000"/>
        </w:rPr>
        <w:t xml:space="preserve"> programação financeira e redução dos valores a serem repassados a câmara até o termino do exercício. </w:t>
      </w:r>
      <w:r>
        <w:t>Certos da compreensão dos Senhores nos colocamos a disposição para eventuais esclarecimentos que se façam necessários.</w:t>
      </w:r>
    </w:p>
    <w:p w14:paraId="2D8C4B61" w14:textId="77777777" w:rsidR="00562EDD" w:rsidRDefault="00562EDD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7A3497BC" w14:textId="77777777" w:rsidR="00562EDD" w:rsidRDefault="00B16F9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</w:t>
      </w:r>
      <w:r>
        <w:rPr>
          <w:b/>
          <w:bCs/>
          <w:color w:val="000000"/>
        </w:rPr>
        <w:t>O</w:t>
      </w:r>
    </w:p>
    <w:p w14:paraId="4EADFCC9" w14:textId="77777777" w:rsidR="00562EDD" w:rsidRDefault="00B16F9C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03C77DAB" w14:textId="77777777" w:rsidR="00562EDD" w:rsidRDefault="00562EDD">
      <w:pPr>
        <w:jc w:val="center"/>
        <w:rPr>
          <w:b/>
        </w:rPr>
      </w:pPr>
    </w:p>
    <w:sectPr w:rsidR="00562EDD">
      <w:headerReference w:type="default" r:id="rId8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26DA8" w14:textId="77777777" w:rsidR="00000000" w:rsidRDefault="00B16F9C">
      <w:pPr>
        <w:spacing w:after="0" w:line="240" w:lineRule="auto"/>
      </w:pPr>
      <w:r>
        <w:separator/>
      </w:r>
    </w:p>
  </w:endnote>
  <w:endnote w:type="continuationSeparator" w:id="0">
    <w:p w14:paraId="3F6D1ED6" w14:textId="77777777" w:rsidR="00000000" w:rsidRDefault="00B1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CCA03" w14:textId="77777777" w:rsidR="00000000" w:rsidRDefault="00B16F9C">
      <w:pPr>
        <w:spacing w:after="0" w:line="240" w:lineRule="auto"/>
      </w:pPr>
      <w:r>
        <w:separator/>
      </w:r>
    </w:p>
  </w:footnote>
  <w:footnote w:type="continuationSeparator" w:id="0">
    <w:p w14:paraId="5D94A06E" w14:textId="77777777" w:rsidR="00000000" w:rsidRDefault="00B1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42675" w14:textId="77777777" w:rsidR="00562EDD" w:rsidRDefault="00B16F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767C41" wp14:editId="6A89AE2A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6A73AD51" w14:textId="77777777" w:rsidR="00562EDD" w:rsidRDefault="00B16F9C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72CCD9DC" w14:textId="77777777" w:rsidR="00562EDD" w:rsidRDefault="00B16F9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37CEBA2B" w14:textId="77777777" w:rsidR="00562EDD" w:rsidRDefault="00B16F9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Farias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043.3125.20.00</w:t>
                          </w:r>
                        </w:p>
                        <w:p w14:paraId="10C8D72B" w14:textId="77777777" w:rsidR="00562EDD" w:rsidRDefault="00B16F9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03F35468" w14:textId="77777777" w:rsidR="00562EDD" w:rsidRDefault="00B16F9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28F9CDB5" w14:textId="77777777" w:rsidR="00562EDD" w:rsidRDefault="00562EDD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767C41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6A73AD51" w14:textId="77777777" w:rsidR="00562EDD" w:rsidRDefault="00B16F9C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72CCD9DC" w14:textId="77777777" w:rsidR="00562EDD" w:rsidRDefault="00B16F9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37CEBA2B" w14:textId="77777777" w:rsidR="00562EDD" w:rsidRDefault="00B16F9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Farias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043.3125.20.00</w:t>
                    </w:r>
                  </w:p>
                  <w:p w14:paraId="10C8D72B" w14:textId="77777777" w:rsidR="00562EDD" w:rsidRDefault="00B16F9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03F35468" w14:textId="77777777" w:rsidR="00562EDD" w:rsidRDefault="00B16F9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28F9CDB5" w14:textId="77777777" w:rsidR="00562EDD" w:rsidRDefault="00562EDD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3EEB7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09982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196E"/>
    <w:rsid w:val="00012A42"/>
    <w:rsid w:val="00016824"/>
    <w:rsid w:val="00031889"/>
    <w:rsid w:val="000328B6"/>
    <w:rsid w:val="00044C81"/>
    <w:rsid w:val="00045831"/>
    <w:rsid w:val="0005253A"/>
    <w:rsid w:val="00052C08"/>
    <w:rsid w:val="000611FE"/>
    <w:rsid w:val="000643D7"/>
    <w:rsid w:val="000813E4"/>
    <w:rsid w:val="000825F1"/>
    <w:rsid w:val="00096737"/>
    <w:rsid w:val="000A2212"/>
    <w:rsid w:val="000B6885"/>
    <w:rsid w:val="00106757"/>
    <w:rsid w:val="00107F6B"/>
    <w:rsid w:val="00120C84"/>
    <w:rsid w:val="00154D15"/>
    <w:rsid w:val="00156243"/>
    <w:rsid w:val="001A2940"/>
    <w:rsid w:val="001A4CC2"/>
    <w:rsid w:val="001B50FE"/>
    <w:rsid w:val="001C2D7E"/>
    <w:rsid w:val="001C369F"/>
    <w:rsid w:val="001D24CF"/>
    <w:rsid w:val="001F5001"/>
    <w:rsid w:val="00221F09"/>
    <w:rsid w:val="00231CA1"/>
    <w:rsid w:val="00240822"/>
    <w:rsid w:val="00244569"/>
    <w:rsid w:val="00250E70"/>
    <w:rsid w:val="00260CF5"/>
    <w:rsid w:val="00275E2B"/>
    <w:rsid w:val="002819BF"/>
    <w:rsid w:val="00286DBB"/>
    <w:rsid w:val="00295A0C"/>
    <w:rsid w:val="00295AF1"/>
    <w:rsid w:val="00297F0E"/>
    <w:rsid w:val="002A69A1"/>
    <w:rsid w:val="002C2BED"/>
    <w:rsid w:val="002D5193"/>
    <w:rsid w:val="002D7284"/>
    <w:rsid w:val="002D79D3"/>
    <w:rsid w:val="002E3298"/>
    <w:rsid w:val="002F0DCF"/>
    <w:rsid w:val="002F2567"/>
    <w:rsid w:val="0032509E"/>
    <w:rsid w:val="00326CBE"/>
    <w:rsid w:val="00333AC4"/>
    <w:rsid w:val="00344BFD"/>
    <w:rsid w:val="00392BCF"/>
    <w:rsid w:val="003B1A1B"/>
    <w:rsid w:val="003E2A13"/>
    <w:rsid w:val="003F05B8"/>
    <w:rsid w:val="00407163"/>
    <w:rsid w:val="00407E0C"/>
    <w:rsid w:val="00433C76"/>
    <w:rsid w:val="0044234F"/>
    <w:rsid w:val="004442C5"/>
    <w:rsid w:val="00456426"/>
    <w:rsid w:val="004B549E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4BFD"/>
    <w:rsid w:val="00553ECF"/>
    <w:rsid w:val="00562EDD"/>
    <w:rsid w:val="005719D6"/>
    <w:rsid w:val="005755E0"/>
    <w:rsid w:val="005844B8"/>
    <w:rsid w:val="00586C2C"/>
    <w:rsid w:val="005923AC"/>
    <w:rsid w:val="00594DC2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E0BC0"/>
    <w:rsid w:val="006F01F0"/>
    <w:rsid w:val="0072346F"/>
    <w:rsid w:val="007404AD"/>
    <w:rsid w:val="00740A98"/>
    <w:rsid w:val="00740F14"/>
    <w:rsid w:val="00743925"/>
    <w:rsid w:val="00781B5A"/>
    <w:rsid w:val="007A2092"/>
    <w:rsid w:val="007B38F0"/>
    <w:rsid w:val="007B4338"/>
    <w:rsid w:val="007C026D"/>
    <w:rsid w:val="007E2092"/>
    <w:rsid w:val="007E56DF"/>
    <w:rsid w:val="00807842"/>
    <w:rsid w:val="0081446B"/>
    <w:rsid w:val="00845E55"/>
    <w:rsid w:val="00863288"/>
    <w:rsid w:val="00871883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96DAB"/>
    <w:rsid w:val="009A284F"/>
    <w:rsid w:val="009B5A41"/>
    <w:rsid w:val="009B7DD6"/>
    <w:rsid w:val="009C0F32"/>
    <w:rsid w:val="009F0765"/>
    <w:rsid w:val="009F524C"/>
    <w:rsid w:val="00A31774"/>
    <w:rsid w:val="00A40941"/>
    <w:rsid w:val="00A71D5C"/>
    <w:rsid w:val="00A81830"/>
    <w:rsid w:val="00A87D8E"/>
    <w:rsid w:val="00A87DE7"/>
    <w:rsid w:val="00AE4EA0"/>
    <w:rsid w:val="00B16F9C"/>
    <w:rsid w:val="00B2260A"/>
    <w:rsid w:val="00B2493C"/>
    <w:rsid w:val="00B30039"/>
    <w:rsid w:val="00B44129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456F1"/>
    <w:rsid w:val="00C55A28"/>
    <w:rsid w:val="00C6521D"/>
    <w:rsid w:val="00C71D9A"/>
    <w:rsid w:val="00C72FF8"/>
    <w:rsid w:val="00C91CDA"/>
    <w:rsid w:val="00CA4AB9"/>
    <w:rsid w:val="00CB1BDF"/>
    <w:rsid w:val="00CC41AD"/>
    <w:rsid w:val="00D00399"/>
    <w:rsid w:val="00D264FE"/>
    <w:rsid w:val="00D4185C"/>
    <w:rsid w:val="00D637CF"/>
    <w:rsid w:val="00D64660"/>
    <w:rsid w:val="00D66957"/>
    <w:rsid w:val="00D7214E"/>
    <w:rsid w:val="00D811BB"/>
    <w:rsid w:val="00D96326"/>
    <w:rsid w:val="00DA013C"/>
    <w:rsid w:val="00DA28FB"/>
    <w:rsid w:val="00DB552D"/>
    <w:rsid w:val="00DC32CE"/>
    <w:rsid w:val="00DE2E6A"/>
    <w:rsid w:val="00DE3AD7"/>
    <w:rsid w:val="00E066EB"/>
    <w:rsid w:val="00E30878"/>
    <w:rsid w:val="00E32243"/>
    <w:rsid w:val="00E53702"/>
    <w:rsid w:val="00E74B6C"/>
    <w:rsid w:val="00E83358"/>
    <w:rsid w:val="00EB28BE"/>
    <w:rsid w:val="00F14294"/>
    <w:rsid w:val="00F17FB8"/>
    <w:rsid w:val="00F47AA2"/>
    <w:rsid w:val="00F51EB0"/>
    <w:rsid w:val="00FA59F3"/>
    <w:rsid w:val="00FA7A3D"/>
    <w:rsid w:val="00FD2F4D"/>
    <w:rsid w:val="00FE542F"/>
    <w:rsid w:val="00FE79DB"/>
    <w:rsid w:val="00FF0CAA"/>
    <w:rsid w:val="037135BE"/>
    <w:rsid w:val="04BB73AE"/>
    <w:rsid w:val="10150AEA"/>
    <w:rsid w:val="32B0441C"/>
    <w:rsid w:val="3CE56D2C"/>
    <w:rsid w:val="456F3BF0"/>
    <w:rsid w:val="48606A6D"/>
    <w:rsid w:val="785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48BC0FC4"/>
  <w15:docId w15:val="{3BE4D563-8550-4BBB-8012-ED10D1E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pPr>
      <w:jc w:val="both"/>
    </w:pPr>
    <w:rPr>
      <w:sz w:val="20"/>
      <w:szCs w:val="20"/>
    </w:rPr>
  </w:style>
  <w:style w:type="paragraph" w:styleId="Ttulo">
    <w:name w:val="Title"/>
    <w:basedOn w:val="Normal"/>
    <w:link w:val="TtuloChar"/>
    <w:qFormat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tuloChar">
    <w:name w:val="Título Char"/>
    <w:basedOn w:val="Fontepargpadro"/>
    <w:link w:val="Ttulo"/>
    <w:qFormat/>
    <w:rPr>
      <w:rFonts w:ascii="Arial" w:hAnsi="Arial"/>
      <w:b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DEAF2-404C-4BD5-85BD-E267090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4558</Characters>
  <Application>Microsoft Office Word</Application>
  <DocSecurity>0</DocSecurity>
  <Lines>37</Lines>
  <Paragraphs>10</Paragraphs>
  <ScaleCrop>false</ScaleCrop>
  <Company>Prefeitura Cruzmaltina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2020-03-05T13:25:00Z</cp:lastPrinted>
  <dcterms:created xsi:type="dcterms:W3CDTF">2020-05-27T18:51:00Z</dcterms:created>
  <dcterms:modified xsi:type="dcterms:W3CDTF">2020-05-27T18:51:00Z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